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sdtContent>
        <w:p w14:paraId="25799334" w14:textId="77777777" w:rsidR="004D5FC6" w:rsidRPr="00581F63" w:rsidRDefault="004D5FC6" w:rsidP="004D5FC6">
          <w:pPr>
            <w:widowControl w:val="0"/>
            <w:tabs>
              <w:tab w:val="left" w:pos="11120"/>
            </w:tabs>
            <w:autoSpaceDE w:val="0"/>
            <w:autoSpaceDN w:val="0"/>
            <w:spacing w:after="0" w:line="240" w:lineRule="auto"/>
            <w:jc w:val="left"/>
            <w:rPr>
              <w:rFonts w:cs="Open Sans"/>
              <w:b/>
              <w:bCs/>
              <w:i/>
              <w:iCs/>
              <w:color w:val="FFFFFF" w:themeColor="background1"/>
              <w:sz w:val="28"/>
              <w:szCs w:val="28"/>
              <w:lang w:eastAsia="fr-FR"/>
            </w:rPr>
          </w:pPr>
          <w:r w:rsidRPr="00CB245E">
            <w:rPr>
              <w:rFonts w:cs="Open Sans"/>
              <w:b/>
              <w:bCs/>
              <w:i/>
              <w:iCs/>
              <w:noProof/>
              <w:color w:val="FFFFFF" w:themeColor="background1"/>
              <w:szCs w:val="28"/>
              <w:lang w:eastAsia="fr-FR"/>
              <w14:ligatures w14:val="standardContextual"/>
            </w:rPr>
            <mc:AlternateContent>
              <mc:Choice Requires="wps">
                <w:drawing>
                  <wp:anchor distT="0" distB="0" distL="114300" distR="114300" simplePos="0" relativeHeight="251661312" behindDoc="1" locked="0" layoutInCell="1" allowOverlap="1" wp14:anchorId="5C693D33" wp14:editId="4C5DB946">
                    <wp:simplePos x="0" y="0"/>
                    <wp:positionH relativeFrom="column">
                      <wp:posOffset>-895350</wp:posOffset>
                    </wp:positionH>
                    <wp:positionV relativeFrom="paragraph">
                      <wp:posOffset>-895350</wp:posOffset>
                    </wp:positionV>
                    <wp:extent cx="15144750" cy="10706100"/>
                    <wp:effectExtent l="0" t="0" r="19050" b="19050"/>
                    <wp:wrapNone/>
                    <wp:docPr id="61046715" name="Rectangle 4"/>
                    <wp:cNvGraphicFramePr/>
                    <a:graphic xmlns:a="http://schemas.openxmlformats.org/drawingml/2006/main">
                      <a:graphicData uri="http://schemas.microsoft.com/office/word/2010/wordprocessingShape">
                        <wps:wsp>
                          <wps:cNvSpPr/>
                          <wps:spPr>
                            <a:xfrm>
                              <a:off x="0" y="0"/>
                              <a:ext cx="15144750" cy="107061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EF9108" id="Rectangle 4" o:spid="_x0000_s1026" style="position:absolute;margin-left:-70.5pt;margin-top:-70.5pt;width:1192.5pt;height:843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" fillcolor="#4472c4 [3204]" strokecolor="#09101d [484]" strokeweight="1pt"/>
                </w:pict>
              </mc:Fallback>
            </mc:AlternateContent>
          </w:r>
          <w:r w:rsidRPr="00CB245E">
            <w:rPr>
              <w:rFonts w:cs="Open Sans"/>
              <w:b/>
              <w:bCs/>
              <w:i/>
              <w:iCs/>
              <w:color w:val="FFFFFF" w:themeColor="background1"/>
              <w:szCs w:val="28"/>
              <w:lang w:eastAsia="fr-FR"/>
            </w:rPr>
            <w:t>M</w:t>
          </w:r>
          <w:r w:rsidRPr="00581F63">
            <w:rPr>
              <w:rFonts w:cs="Open Sans"/>
              <w:b/>
              <w:bCs/>
              <w:i/>
              <w:iCs/>
              <w:color w:val="FFFFFF" w:themeColor="background1"/>
              <w:sz w:val="28"/>
              <w:szCs w:val="28"/>
              <w:lang w:eastAsia="fr-FR"/>
            </w:rPr>
            <w:t>ODULE 4 – Audit fiscal et gestion de la contribution fiscale familiale</w:t>
          </w:r>
        </w:p>
        <w:p w14:paraId="7A88AE16" w14:textId="77777777" w:rsidR="007674AD" w:rsidRDefault="004D5FC6" w:rsidP="004D5FC6">
          <w:pPr>
            <w:jc w:val="left"/>
            <w:rPr>
              <w:rFonts w:cs="Open Sans"/>
              <w:b/>
              <w:bCs/>
              <w:i/>
              <w:iCs/>
              <w:color w:val="FFFFFF" w:themeColor="background1"/>
              <w:sz w:val="28"/>
              <w:szCs w:val="28"/>
              <w:lang w:eastAsia="fr-FR"/>
            </w:rPr>
          </w:pPr>
          <w:r w:rsidRPr="00581F63">
            <w:rPr>
              <w:rFonts w:cs="Open Sans"/>
              <w:b/>
              <w:bCs/>
              <w:i/>
              <w:iCs/>
              <w:color w:val="FFFFFF" w:themeColor="background1"/>
              <w:sz w:val="28"/>
              <w:szCs w:val="28"/>
              <w:lang w:eastAsia="fr-FR"/>
            </w:rPr>
            <w:t>Leçon 4 : La fiscalité de la transmission à titre gratuit</w:t>
          </w:r>
        </w:p>
        <w:p w14:paraId="475CD489" w14:textId="77777777" w:rsidR="007674AD" w:rsidRDefault="007674AD" w:rsidP="004D5FC6">
          <w:pPr>
            <w:jc w:val="left"/>
            <w:rPr>
              <w:rFonts w:cs="Open Sans"/>
              <w:b/>
              <w:bCs/>
              <w:i/>
              <w:iCs/>
              <w:color w:val="FFFFFF" w:themeColor="background1"/>
              <w:sz w:val="28"/>
              <w:szCs w:val="28"/>
              <w:lang w:eastAsia="fr-FR"/>
            </w:rPr>
          </w:pPr>
        </w:p>
        <w:p w14:paraId="254D97A6" w14:textId="77777777" w:rsidR="007674AD" w:rsidRDefault="007674AD" w:rsidP="004D5FC6">
          <w:pPr>
            <w:jc w:val="left"/>
            <w:rPr>
              <w:rFonts w:cs="Open Sans"/>
              <w:b/>
              <w:bCs/>
              <w:i/>
              <w:iCs/>
              <w:color w:val="FFFFFF" w:themeColor="background1"/>
              <w:sz w:val="28"/>
              <w:szCs w:val="28"/>
              <w:lang w:eastAsia="fr-FR"/>
            </w:rPr>
          </w:pPr>
        </w:p>
        <w:p w14:paraId="4BF1E7D0" w14:textId="77777777" w:rsidR="007674AD" w:rsidRDefault="007674AD" w:rsidP="004D5FC6">
          <w:pPr>
            <w:jc w:val="left"/>
            <w:rPr>
              <w:rFonts w:cs="Open Sans"/>
              <w:b/>
              <w:bCs/>
              <w:i/>
              <w:iCs/>
              <w:color w:val="FFFFFF" w:themeColor="background1"/>
              <w:sz w:val="28"/>
              <w:szCs w:val="28"/>
              <w:lang w:eastAsia="fr-FR"/>
            </w:rPr>
          </w:pPr>
        </w:p>
        <w:p w14:paraId="14938E1E" w14:textId="77777777" w:rsidR="007674AD" w:rsidRDefault="007674AD" w:rsidP="004D5FC6">
          <w:pPr>
            <w:jc w:val="left"/>
            <w:rPr>
              <w:rFonts w:cs="Open Sans"/>
              <w:b/>
              <w:bCs/>
              <w:i/>
              <w:iCs/>
              <w:color w:val="FFFFFF" w:themeColor="background1"/>
              <w:sz w:val="28"/>
              <w:szCs w:val="28"/>
              <w:lang w:eastAsia="fr-FR"/>
            </w:rPr>
          </w:pPr>
        </w:p>
        <w:p w14:paraId="0A709A47" w14:textId="77777777" w:rsidR="007674AD" w:rsidRDefault="007674AD" w:rsidP="004D5FC6">
          <w:pPr>
            <w:jc w:val="left"/>
            <w:rPr>
              <w:rFonts w:cs="Open Sans"/>
              <w:b/>
              <w:bCs/>
              <w:i/>
              <w:iCs/>
              <w:color w:val="FFFFFF" w:themeColor="background1"/>
              <w:sz w:val="28"/>
              <w:szCs w:val="28"/>
              <w:lang w:eastAsia="fr-FR"/>
            </w:rPr>
          </w:pPr>
        </w:p>
        <w:p w14:paraId="26990B15" w14:textId="77777777" w:rsidR="007674AD" w:rsidRDefault="007674AD" w:rsidP="004D5FC6">
          <w:pPr>
            <w:jc w:val="left"/>
            <w:rPr>
              <w:rFonts w:cs="Open Sans"/>
              <w:b/>
              <w:bCs/>
              <w:i/>
              <w:iCs/>
              <w:color w:val="FFFFFF" w:themeColor="background1"/>
              <w:sz w:val="28"/>
              <w:szCs w:val="28"/>
              <w:lang w:eastAsia="fr-FR"/>
            </w:rPr>
          </w:pPr>
        </w:p>
        <w:p w14:paraId="4B76884A" w14:textId="77777777" w:rsidR="007674AD" w:rsidRDefault="007674AD" w:rsidP="004D5FC6">
          <w:pPr>
            <w:jc w:val="left"/>
            <w:rPr>
              <w:rFonts w:cs="Open Sans"/>
              <w:b/>
              <w:bCs/>
              <w:i/>
              <w:iCs/>
              <w:color w:val="FFFFFF" w:themeColor="background1"/>
              <w:sz w:val="28"/>
              <w:szCs w:val="28"/>
              <w:lang w:eastAsia="fr-FR"/>
            </w:rPr>
          </w:pPr>
        </w:p>
        <w:p w14:paraId="3B2180CF" w14:textId="77777777" w:rsidR="007674AD" w:rsidRDefault="007674AD" w:rsidP="004D5FC6">
          <w:pPr>
            <w:jc w:val="left"/>
            <w:rPr>
              <w:rFonts w:cs="Open Sans"/>
              <w:b/>
              <w:bCs/>
              <w:i/>
              <w:iCs/>
              <w:color w:val="FFFFFF" w:themeColor="background1"/>
              <w:sz w:val="28"/>
              <w:szCs w:val="28"/>
              <w:lang w:eastAsia="fr-FR"/>
            </w:rPr>
          </w:pPr>
        </w:p>
        <w:p w14:paraId="27728276" w14:textId="77777777" w:rsidR="007674AD" w:rsidRDefault="007674AD" w:rsidP="004D5FC6">
          <w:pPr>
            <w:jc w:val="left"/>
            <w:rPr>
              <w:rFonts w:cs="Open Sans"/>
              <w:b/>
              <w:bCs/>
              <w:i/>
              <w:iCs/>
              <w:color w:val="FFFFFF" w:themeColor="background1"/>
              <w:sz w:val="28"/>
              <w:szCs w:val="28"/>
              <w:lang w:eastAsia="fr-FR"/>
            </w:rPr>
          </w:pPr>
        </w:p>
        <w:p w14:paraId="43E30A0D" w14:textId="06FD9270" w:rsidR="00677448" w:rsidRDefault="007674AD" w:rsidP="004D5FC6">
          <w:pPr>
            <w:jc w:val="left"/>
            <w:rPr>
              <w:lang w:eastAsia="fr-FR"/>
            </w:rPr>
          </w:pPr>
          <w:r w:rsidRPr="000D75B7">
            <w:rPr>
              <w:rStyle w:val="Titre1Car"/>
            </w:rPr>
            <w:t xml:space="preserve">Chapitre </w:t>
          </w:r>
          <w:r w:rsidR="000D75B7" w:rsidRPr="000D75B7">
            <w:rPr>
              <w:rStyle w:val="Titre1Car"/>
            </w:rPr>
            <w:t>1 : Impôts sur les bénéfices</w:t>
          </w:r>
          <w:r w:rsidR="004D5FC6" w:rsidRPr="00CB245E">
            <w:rPr>
              <w:rFonts w:cs="Open Sans"/>
              <w:b/>
              <w:bCs/>
              <w:i/>
              <w:iCs/>
              <w:noProof/>
              <w:color w:val="FFFFFF" w:themeColor="background1"/>
              <w:szCs w:val="28"/>
              <w:lang w:eastAsia="fr-FR"/>
              <w14:ligatures w14:val="standardContextual"/>
            </w:rPr>
            <w:t xml:space="preserve"> </w:t>
          </w:r>
          <w:r w:rsidR="00EB5CE2" w:rsidRPr="00CB245E">
            <w:rPr>
              <w:rFonts w:cs="Open Sans"/>
              <w:b/>
              <w:bCs/>
              <w:i/>
              <w:iCs/>
              <w:noProof/>
              <w:color w:val="FFFFFF" w:themeColor="background1"/>
              <w:szCs w:val="28"/>
              <w:lang w:eastAsia="fr-FR"/>
              <w14:ligatures w14:val="standardContextual"/>
            </w:rPr>
            <mc:AlternateContent>
              <mc:Choice Requires="wps">
                <w:drawing>
                  <wp:anchor distT="0" distB="0" distL="114300" distR="114300" simplePos="0" relativeHeight="251659264" behindDoc="1" locked="0" layoutInCell="1" allowOverlap="1" wp14:anchorId="45346375" wp14:editId="28CDC26D">
                    <wp:simplePos x="0" y="0"/>
                    <wp:positionH relativeFrom="column">
                      <wp:posOffset>-1023582</wp:posOffset>
                    </wp:positionH>
                    <wp:positionV relativeFrom="paragraph">
                      <wp:posOffset>-1023582</wp:posOffset>
                    </wp:positionV>
                    <wp:extent cx="15613039" cy="10877266"/>
                    <wp:effectExtent l="0" t="0" r="27305" b="19685"/>
                    <wp:wrapNone/>
                    <wp:docPr id="1383242804" name="Rectangle 4"/>
                    <wp:cNvGraphicFramePr/>
                    <a:graphic xmlns:a="http://schemas.openxmlformats.org/drawingml/2006/main">
                      <a:graphicData uri="http://schemas.microsoft.com/office/word/2010/wordprocessingShape">
                        <wps:wsp>
                          <wps:cNvSpPr/>
                          <wps:spPr>
                            <a:xfrm>
                              <a:off x="0" y="0"/>
                              <a:ext cx="15613039" cy="10877266"/>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FEB501" id="Rectangle 4" o:spid="_x0000_s1026" style="position:absolute;margin-left:-80.6pt;margin-top:-80.6pt;width:1229.35pt;height:85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" fillcolor="#4472c4 [3204]" strokecolor="#09101d [484]" strokeweight="1pt"/>
                </w:pict>
              </mc:Fallback>
            </mc:AlternateContent>
          </w:r>
          <w:r w:rsidR="00677448">
            <w:rPr>
              <w:b/>
              <w:bCs/>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1D8A5992" w14:textId="1236B689" w:rsidR="00405DBA" w:rsidRDefault="00B8067C">
          <w:pPr>
            <w:pStyle w:val="TM2"/>
            <w:tabs>
              <w:tab w:val="left" w:pos="660"/>
              <w:tab w:val="right" w:leader="dot" w:pos="20921"/>
            </w:tabs>
            <w:rPr>
              <w:rFonts w:asciiTheme="minorHAnsi" w:eastAsiaTheme="minorEastAsia" w:hAnsiTheme="minorHAnsi"/>
              <w:noProof/>
              <w:kern w:val="2"/>
              <w:sz w:val="22"/>
              <w:lang w:val="en-US"/>
              <w14:ligatures w14:val="standardContextual"/>
            </w:rPr>
          </w:pPr>
          <w:r>
            <w:fldChar w:fldCharType="begin"/>
          </w:r>
          <w:r>
            <w:instrText xml:space="preserve"> TOC \o "1-3" \h \z \u </w:instrText>
          </w:r>
          <w:r>
            <w:fldChar w:fldCharType="separate"/>
          </w:r>
          <w:hyperlink w:anchor="_Toc158208023" w:history="1">
            <w:r w:rsidR="00405DBA" w:rsidRPr="000C1C6C">
              <w:rPr>
                <w:rStyle w:val="Lienhypertexte"/>
                <w:rFonts w:eastAsia="Times New Roman"/>
                <w:noProof/>
                <w:lang w:eastAsia="fr-FR"/>
              </w:rPr>
              <w:t>I.</w:t>
            </w:r>
            <w:r w:rsidR="00405DBA">
              <w:rPr>
                <w:rFonts w:asciiTheme="minorHAnsi" w:eastAsiaTheme="minorEastAsia" w:hAnsiTheme="minorHAnsi"/>
                <w:noProof/>
                <w:kern w:val="2"/>
                <w:sz w:val="22"/>
                <w:lang w:val="en-US"/>
                <w14:ligatures w14:val="standardContextual"/>
              </w:rPr>
              <w:tab/>
            </w:r>
            <w:r w:rsidR="00405DBA" w:rsidRPr="000C1C6C">
              <w:rPr>
                <w:rStyle w:val="Lienhypertexte"/>
                <w:rFonts w:eastAsia="Times New Roman"/>
                <w:noProof/>
                <w:lang w:eastAsia="fr-FR"/>
              </w:rPr>
              <w:t>Principes généraux</w:t>
            </w:r>
            <w:r w:rsidR="00405DBA">
              <w:rPr>
                <w:noProof/>
                <w:webHidden/>
              </w:rPr>
              <w:tab/>
            </w:r>
            <w:r w:rsidR="00405DBA">
              <w:rPr>
                <w:noProof/>
                <w:webHidden/>
              </w:rPr>
              <w:fldChar w:fldCharType="begin"/>
            </w:r>
            <w:r w:rsidR="00405DBA">
              <w:rPr>
                <w:noProof/>
                <w:webHidden/>
              </w:rPr>
              <w:instrText xml:space="preserve"> PAGEREF _Toc158208023 \h </w:instrText>
            </w:r>
            <w:r w:rsidR="00405DBA">
              <w:rPr>
                <w:noProof/>
                <w:webHidden/>
              </w:rPr>
            </w:r>
            <w:r w:rsidR="00405DBA">
              <w:rPr>
                <w:noProof/>
                <w:webHidden/>
              </w:rPr>
              <w:fldChar w:fldCharType="separate"/>
            </w:r>
            <w:r w:rsidR="002755CD">
              <w:rPr>
                <w:noProof/>
                <w:webHidden/>
              </w:rPr>
              <w:t>2</w:t>
            </w:r>
            <w:r w:rsidR="00405DBA">
              <w:rPr>
                <w:noProof/>
                <w:webHidden/>
              </w:rPr>
              <w:fldChar w:fldCharType="end"/>
            </w:r>
          </w:hyperlink>
        </w:p>
        <w:p w14:paraId="5F9AFC05" w14:textId="70BC52C8" w:rsidR="00405DBA" w:rsidRDefault="00405DBA">
          <w:pPr>
            <w:pStyle w:val="TM2"/>
            <w:tabs>
              <w:tab w:val="left" w:pos="660"/>
              <w:tab w:val="right" w:leader="dot" w:pos="20921"/>
            </w:tabs>
            <w:rPr>
              <w:rFonts w:asciiTheme="minorHAnsi" w:eastAsiaTheme="minorEastAsia" w:hAnsiTheme="minorHAnsi"/>
              <w:noProof/>
              <w:kern w:val="2"/>
              <w:sz w:val="22"/>
              <w:lang w:val="en-US"/>
              <w14:ligatures w14:val="standardContextual"/>
            </w:rPr>
          </w:pPr>
          <w:hyperlink w:anchor="_Toc158208024" w:history="1">
            <w:r w:rsidRPr="000C1C6C">
              <w:rPr>
                <w:rStyle w:val="Lienhypertexte"/>
                <w:rFonts w:eastAsia="Times New Roman"/>
                <w:noProof/>
                <w:lang w:eastAsia="fr-FR"/>
              </w:rPr>
              <w:t>II.</w:t>
            </w:r>
            <w:r>
              <w:rPr>
                <w:rFonts w:asciiTheme="minorHAnsi" w:eastAsiaTheme="minorEastAsia" w:hAnsiTheme="minorHAnsi"/>
                <w:noProof/>
                <w:kern w:val="2"/>
                <w:sz w:val="22"/>
                <w:lang w:val="en-US"/>
                <w14:ligatures w14:val="standardContextual"/>
              </w:rPr>
              <w:tab/>
            </w:r>
            <w:r w:rsidRPr="000C1C6C">
              <w:rPr>
                <w:rStyle w:val="Lienhypertexte"/>
                <w:rFonts w:eastAsia="Times New Roman"/>
                <w:noProof/>
                <w:lang w:eastAsia="fr-FR"/>
              </w:rPr>
              <w:t>Sociétés pouvant opter pour le régime des sociétés de personnes</w:t>
            </w:r>
            <w:r>
              <w:rPr>
                <w:noProof/>
                <w:webHidden/>
              </w:rPr>
              <w:tab/>
            </w:r>
            <w:r>
              <w:rPr>
                <w:noProof/>
                <w:webHidden/>
              </w:rPr>
              <w:fldChar w:fldCharType="begin"/>
            </w:r>
            <w:r>
              <w:rPr>
                <w:noProof/>
                <w:webHidden/>
              </w:rPr>
              <w:instrText xml:space="preserve"> PAGEREF _Toc158208024 \h </w:instrText>
            </w:r>
            <w:r>
              <w:rPr>
                <w:noProof/>
                <w:webHidden/>
              </w:rPr>
            </w:r>
            <w:r>
              <w:rPr>
                <w:noProof/>
                <w:webHidden/>
              </w:rPr>
              <w:fldChar w:fldCharType="separate"/>
            </w:r>
            <w:r w:rsidR="002755CD">
              <w:rPr>
                <w:noProof/>
                <w:webHidden/>
              </w:rPr>
              <w:t>3</w:t>
            </w:r>
            <w:r>
              <w:rPr>
                <w:noProof/>
                <w:webHidden/>
              </w:rPr>
              <w:fldChar w:fldCharType="end"/>
            </w:r>
          </w:hyperlink>
        </w:p>
        <w:p w14:paraId="57C33EAE" w14:textId="106E583C" w:rsidR="00405DBA" w:rsidRDefault="00405DBA">
          <w:pPr>
            <w:pStyle w:val="TM2"/>
            <w:tabs>
              <w:tab w:val="left" w:pos="880"/>
              <w:tab w:val="right" w:leader="dot" w:pos="20921"/>
            </w:tabs>
            <w:rPr>
              <w:rFonts w:asciiTheme="minorHAnsi" w:eastAsiaTheme="minorEastAsia" w:hAnsiTheme="minorHAnsi"/>
              <w:noProof/>
              <w:kern w:val="2"/>
              <w:sz w:val="22"/>
              <w:lang w:val="en-US"/>
              <w14:ligatures w14:val="standardContextual"/>
            </w:rPr>
          </w:pPr>
          <w:hyperlink w:anchor="_Toc158208025" w:history="1">
            <w:r w:rsidRPr="000C1C6C">
              <w:rPr>
                <w:rStyle w:val="Lienhypertexte"/>
                <w:rFonts w:eastAsia="Times New Roman"/>
                <w:noProof/>
                <w:lang w:eastAsia="fr-FR"/>
              </w:rPr>
              <w:t>III.</w:t>
            </w:r>
            <w:r>
              <w:rPr>
                <w:rFonts w:asciiTheme="minorHAnsi" w:eastAsiaTheme="minorEastAsia" w:hAnsiTheme="minorHAnsi"/>
                <w:noProof/>
                <w:kern w:val="2"/>
                <w:sz w:val="22"/>
                <w:lang w:val="en-US"/>
                <w14:ligatures w14:val="standardContextual"/>
              </w:rPr>
              <w:tab/>
            </w:r>
            <w:r w:rsidRPr="000C1C6C">
              <w:rPr>
                <w:rStyle w:val="Lienhypertexte"/>
                <w:rFonts w:eastAsia="Times New Roman"/>
                <w:noProof/>
                <w:lang w:eastAsia="fr-FR"/>
              </w:rPr>
              <w:t>Impôt sur les sociétés</w:t>
            </w:r>
            <w:r>
              <w:rPr>
                <w:noProof/>
                <w:webHidden/>
              </w:rPr>
              <w:tab/>
            </w:r>
            <w:r>
              <w:rPr>
                <w:noProof/>
                <w:webHidden/>
              </w:rPr>
              <w:fldChar w:fldCharType="begin"/>
            </w:r>
            <w:r>
              <w:rPr>
                <w:noProof/>
                <w:webHidden/>
              </w:rPr>
              <w:instrText xml:space="preserve"> PAGEREF _Toc158208025 \h </w:instrText>
            </w:r>
            <w:r>
              <w:rPr>
                <w:noProof/>
                <w:webHidden/>
              </w:rPr>
            </w:r>
            <w:r>
              <w:rPr>
                <w:noProof/>
                <w:webHidden/>
              </w:rPr>
              <w:fldChar w:fldCharType="separate"/>
            </w:r>
            <w:r w:rsidR="002755CD">
              <w:rPr>
                <w:noProof/>
                <w:webHidden/>
              </w:rPr>
              <w:t>4</w:t>
            </w:r>
            <w:r>
              <w:rPr>
                <w:noProof/>
                <w:webHidden/>
              </w:rPr>
              <w:fldChar w:fldCharType="end"/>
            </w:r>
          </w:hyperlink>
        </w:p>
        <w:p w14:paraId="78488481" w14:textId="2E2D675F" w:rsidR="00405DBA" w:rsidRDefault="00405DBA">
          <w:pPr>
            <w:pStyle w:val="TM3"/>
            <w:rPr>
              <w:rFonts w:asciiTheme="minorHAnsi" w:eastAsiaTheme="minorEastAsia" w:hAnsiTheme="minorHAnsi"/>
              <w:noProof/>
              <w:kern w:val="2"/>
              <w:sz w:val="22"/>
              <w:lang w:val="en-US"/>
              <w14:ligatures w14:val="standardContextual"/>
            </w:rPr>
          </w:pPr>
          <w:hyperlink w:anchor="_Toc158208026" w:history="1">
            <w:r w:rsidRPr="000C1C6C">
              <w:rPr>
                <w:rStyle w:val="Lienhypertexte"/>
                <w:noProof/>
              </w:rPr>
              <w:t>1.</w:t>
            </w:r>
            <w:r>
              <w:rPr>
                <w:rFonts w:asciiTheme="minorHAnsi" w:eastAsiaTheme="minorEastAsia" w:hAnsiTheme="minorHAnsi"/>
                <w:noProof/>
                <w:kern w:val="2"/>
                <w:sz w:val="22"/>
                <w:lang w:val="en-US"/>
                <w14:ligatures w14:val="standardContextual"/>
              </w:rPr>
              <w:tab/>
            </w:r>
            <w:r w:rsidRPr="000C1C6C">
              <w:rPr>
                <w:rStyle w:val="Lienhypertexte"/>
                <w:noProof/>
              </w:rPr>
              <w:t>Taux normal de l’impôt sur les sociétés</w:t>
            </w:r>
            <w:r>
              <w:rPr>
                <w:noProof/>
                <w:webHidden/>
              </w:rPr>
              <w:tab/>
            </w:r>
            <w:r>
              <w:rPr>
                <w:noProof/>
                <w:webHidden/>
              </w:rPr>
              <w:fldChar w:fldCharType="begin"/>
            </w:r>
            <w:r>
              <w:rPr>
                <w:noProof/>
                <w:webHidden/>
              </w:rPr>
              <w:instrText xml:space="preserve"> PAGEREF _Toc158208026 \h </w:instrText>
            </w:r>
            <w:r>
              <w:rPr>
                <w:noProof/>
                <w:webHidden/>
              </w:rPr>
            </w:r>
            <w:r>
              <w:rPr>
                <w:noProof/>
                <w:webHidden/>
              </w:rPr>
              <w:fldChar w:fldCharType="separate"/>
            </w:r>
            <w:r w:rsidR="002755CD">
              <w:rPr>
                <w:noProof/>
                <w:webHidden/>
              </w:rPr>
              <w:t>4</w:t>
            </w:r>
            <w:r>
              <w:rPr>
                <w:noProof/>
                <w:webHidden/>
              </w:rPr>
              <w:fldChar w:fldCharType="end"/>
            </w:r>
          </w:hyperlink>
        </w:p>
        <w:p w14:paraId="11104D44" w14:textId="18E06BA1" w:rsidR="00405DBA" w:rsidRDefault="00405DBA">
          <w:pPr>
            <w:pStyle w:val="TM3"/>
            <w:rPr>
              <w:rFonts w:asciiTheme="minorHAnsi" w:eastAsiaTheme="minorEastAsia" w:hAnsiTheme="minorHAnsi"/>
              <w:noProof/>
              <w:kern w:val="2"/>
              <w:sz w:val="22"/>
              <w:lang w:val="en-US"/>
              <w14:ligatures w14:val="standardContextual"/>
            </w:rPr>
          </w:pPr>
          <w:hyperlink w:anchor="_Toc158208027" w:history="1">
            <w:r w:rsidRPr="000C1C6C">
              <w:rPr>
                <w:rStyle w:val="Lienhypertexte"/>
                <w:noProof/>
              </w:rPr>
              <w:t>2.</w:t>
            </w:r>
            <w:r>
              <w:rPr>
                <w:rFonts w:asciiTheme="minorHAnsi" w:eastAsiaTheme="minorEastAsia" w:hAnsiTheme="minorHAnsi"/>
                <w:noProof/>
                <w:kern w:val="2"/>
                <w:sz w:val="22"/>
                <w:lang w:val="en-US"/>
                <w14:ligatures w14:val="standardContextual"/>
              </w:rPr>
              <w:tab/>
            </w:r>
            <w:r w:rsidRPr="000C1C6C">
              <w:rPr>
                <w:rStyle w:val="Lienhypertexte"/>
                <w:noProof/>
              </w:rPr>
              <w:t>Régime d’imposition des plus ou moins-values à long terme</w:t>
            </w:r>
            <w:r>
              <w:rPr>
                <w:noProof/>
                <w:webHidden/>
              </w:rPr>
              <w:tab/>
            </w:r>
            <w:r>
              <w:rPr>
                <w:noProof/>
                <w:webHidden/>
              </w:rPr>
              <w:fldChar w:fldCharType="begin"/>
            </w:r>
            <w:r>
              <w:rPr>
                <w:noProof/>
                <w:webHidden/>
              </w:rPr>
              <w:instrText xml:space="preserve"> PAGEREF _Toc158208027 \h </w:instrText>
            </w:r>
            <w:r>
              <w:rPr>
                <w:noProof/>
                <w:webHidden/>
              </w:rPr>
            </w:r>
            <w:r>
              <w:rPr>
                <w:noProof/>
                <w:webHidden/>
              </w:rPr>
              <w:fldChar w:fldCharType="separate"/>
            </w:r>
            <w:r w:rsidR="002755CD">
              <w:rPr>
                <w:noProof/>
                <w:webHidden/>
              </w:rPr>
              <w:t>4</w:t>
            </w:r>
            <w:r>
              <w:rPr>
                <w:noProof/>
                <w:webHidden/>
              </w:rPr>
              <w:fldChar w:fldCharType="end"/>
            </w:r>
          </w:hyperlink>
        </w:p>
        <w:p w14:paraId="3970DBAE" w14:textId="7C4271F3" w:rsidR="00405DBA" w:rsidRDefault="00405DBA">
          <w:pPr>
            <w:pStyle w:val="TM2"/>
            <w:tabs>
              <w:tab w:val="left" w:pos="880"/>
              <w:tab w:val="right" w:leader="dot" w:pos="20921"/>
            </w:tabs>
            <w:rPr>
              <w:rFonts w:asciiTheme="minorHAnsi" w:eastAsiaTheme="minorEastAsia" w:hAnsiTheme="minorHAnsi"/>
              <w:noProof/>
              <w:kern w:val="2"/>
              <w:sz w:val="22"/>
              <w:lang w:val="en-US"/>
              <w14:ligatures w14:val="standardContextual"/>
            </w:rPr>
          </w:pPr>
          <w:hyperlink w:anchor="_Toc158208028" w:history="1">
            <w:r w:rsidRPr="000C1C6C">
              <w:rPr>
                <w:rStyle w:val="Lienhypertexte"/>
                <w:rFonts w:eastAsia="Times New Roman"/>
                <w:noProof/>
                <w:lang w:eastAsia="fr-FR"/>
              </w:rPr>
              <w:t>IV.</w:t>
            </w:r>
            <w:r>
              <w:rPr>
                <w:rFonts w:asciiTheme="minorHAnsi" w:eastAsiaTheme="minorEastAsia" w:hAnsiTheme="minorHAnsi"/>
                <w:noProof/>
                <w:kern w:val="2"/>
                <w:sz w:val="22"/>
                <w:lang w:val="en-US"/>
                <w14:ligatures w14:val="standardContextual"/>
              </w:rPr>
              <w:tab/>
            </w:r>
            <w:r w:rsidRPr="000C1C6C">
              <w:rPr>
                <w:rStyle w:val="Lienhypertexte"/>
                <w:rFonts w:eastAsia="Times New Roman"/>
                <w:noProof/>
                <w:lang w:eastAsia="fr-FR"/>
              </w:rPr>
              <w:t>Les modes d’imposition des entreprises</w:t>
            </w:r>
            <w:r>
              <w:rPr>
                <w:noProof/>
                <w:webHidden/>
              </w:rPr>
              <w:tab/>
            </w:r>
            <w:r>
              <w:rPr>
                <w:noProof/>
                <w:webHidden/>
              </w:rPr>
              <w:fldChar w:fldCharType="begin"/>
            </w:r>
            <w:r>
              <w:rPr>
                <w:noProof/>
                <w:webHidden/>
              </w:rPr>
              <w:instrText xml:space="preserve"> PAGEREF _Toc158208028 \h </w:instrText>
            </w:r>
            <w:r>
              <w:rPr>
                <w:noProof/>
                <w:webHidden/>
              </w:rPr>
            </w:r>
            <w:r>
              <w:rPr>
                <w:noProof/>
                <w:webHidden/>
              </w:rPr>
              <w:fldChar w:fldCharType="separate"/>
            </w:r>
            <w:r w:rsidR="002755CD">
              <w:rPr>
                <w:noProof/>
                <w:webHidden/>
              </w:rPr>
              <w:t>5</w:t>
            </w:r>
            <w:r>
              <w:rPr>
                <w:noProof/>
                <w:webHidden/>
              </w:rPr>
              <w:fldChar w:fldCharType="end"/>
            </w:r>
          </w:hyperlink>
        </w:p>
        <w:p w14:paraId="39A881F8" w14:textId="3D5E0754" w:rsidR="00405DBA" w:rsidRDefault="00405DBA">
          <w:pPr>
            <w:pStyle w:val="TM3"/>
            <w:rPr>
              <w:rFonts w:asciiTheme="minorHAnsi" w:eastAsiaTheme="minorEastAsia" w:hAnsiTheme="minorHAnsi"/>
              <w:noProof/>
              <w:kern w:val="2"/>
              <w:sz w:val="22"/>
              <w:lang w:val="en-US"/>
              <w14:ligatures w14:val="standardContextual"/>
            </w:rPr>
          </w:pPr>
          <w:hyperlink w:anchor="_Toc158208029" w:history="1">
            <w:r w:rsidRPr="000C1C6C">
              <w:rPr>
                <w:rStyle w:val="Lienhypertexte"/>
                <w:noProof/>
              </w:rPr>
              <w:t>1.</w:t>
            </w:r>
            <w:r>
              <w:rPr>
                <w:rFonts w:asciiTheme="minorHAnsi" w:eastAsiaTheme="minorEastAsia" w:hAnsiTheme="minorHAnsi"/>
                <w:noProof/>
                <w:kern w:val="2"/>
                <w:sz w:val="22"/>
                <w:lang w:val="en-US"/>
                <w14:ligatures w14:val="standardContextual"/>
              </w:rPr>
              <w:tab/>
            </w:r>
            <w:r w:rsidRPr="000C1C6C">
              <w:rPr>
                <w:rStyle w:val="Lienhypertexte"/>
                <w:noProof/>
              </w:rPr>
              <w:t>Le régime micro-bic</w:t>
            </w:r>
            <w:r>
              <w:rPr>
                <w:noProof/>
                <w:webHidden/>
              </w:rPr>
              <w:tab/>
            </w:r>
            <w:r>
              <w:rPr>
                <w:noProof/>
                <w:webHidden/>
              </w:rPr>
              <w:fldChar w:fldCharType="begin"/>
            </w:r>
            <w:r>
              <w:rPr>
                <w:noProof/>
                <w:webHidden/>
              </w:rPr>
              <w:instrText xml:space="preserve"> PAGEREF _Toc158208029 \h </w:instrText>
            </w:r>
            <w:r>
              <w:rPr>
                <w:noProof/>
                <w:webHidden/>
              </w:rPr>
            </w:r>
            <w:r>
              <w:rPr>
                <w:noProof/>
                <w:webHidden/>
              </w:rPr>
              <w:fldChar w:fldCharType="separate"/>
            </w:r>
            <w:r w:rsidR="002755CD">
              <w:rPr>
                <w:noProof/>
                <w:webHidden/>
              </w:rPr>
              <w:t>5</w:t>
            </w:r>
            <w:r>
              <w:rPr>
                <w:noProof/>
                <w:webHidden/>
              </w:rPr>
              <w:fldChar w:fldCharType="end"/>
            </w:r>
          </w:hyperlink>
        </w:p>
        <w:p w14:paraId="108EE62E" w14:textId="0D44403E" w:rsidR="00405DBA" w:rsidRDefault="00405DBA">
          <w:pPr>
            <w:pStyle w:val="TM3"/>
            <w:rPr>
              <w:rFonts w:asciiTheme="minorHAnsi" w:eastAsiaTheme="minorEastAsia" w:hAnsiTheme="minorHAnsi"/>
              <w:noProof/>
              <w:kern w:val="2"/>
              <w:sz w:val="22"/>
              <w:lang w:val="en-US"/>
              <w14:ligatures w14:val="standardContextual"/>
            </w:rPr>
          </w:pPr>
          <w:hyperlink w:anchor="_Toc158208030" w:history="1">
            <w:r w:rsidRPr="000C1C6C">
              <w:rPr>
                <w:rStyle w:val="Lienhypertexte"/>
                <w:noProof/>
              </w:rPr>
              <w:t>2.</w:t>
            </w:r>
            <w:r>
              <w:rPr>
                <w:rFonts w:asciiTheme="minorHAnsi" w:eastAsiaTheme="minorEastAsia" w:hAnsiTheme="minorHAnsi"/>
                <w:noProof/>
                <w:kern w:val="2"/>
                <w:sz w:val="22"/>
                <w:lang w:val="en-US"/>
                <w14:ligatures w14:val="standardContextual"/>
              </w:rPr>
              <w:tab/>
            </w:r>
            <w:r w:rsidRPr="000C1C6C">
              <w:rPr>
                <w:rStyle w:val="Lienhypertexte"/>
                <w:noProof/>
              </w:rPr>
              <w:t>Les régimes d’imposition selon le bénéfice réel</w:t>
            </w:r>
            <w:r>
              <w:rPr>
                <w:noProof/>
                <w:webHidden/>
              </w:rPr>
              <w:tab/>
            </w:r>
            <w:r>
              <w:rPr>
                <w:noProof/>
                <w:webHidden/>
              </w:rPr>
              <w:fldChar w:fldCharType="begin"/>
            </w:r>
            <w:r>
              <w:rPr>
                <w:noProof/>
                <w:webHidden/>
              </w:rPr>
              <w:instrText xml:space="preserve"> PAGEREF _Toc158208030 \h </w:instrText>
            </w:r>
            <w:r>
              <w:rPr>
                <w:noProof/>
                <w:webHidden/>
              </w:rPr>
            </w:r>
            <w:r>
              <w:rPr>
                <w:noProof/>
                <w:webHidden/>
              </w:rPr>
              <w:fldChar w:fldCharType="separate"/>
            </w:r>
            <w:r w:rsidR="002755CD">
              <w:rPr>
                <w:noProof/>
                <w:webHidden/>
              </w:rPr>
              <w:t>6</w:t>
            </w:r>
            <w:r>
              <w:rPr>
                <w:noProof/>
                <w:webHidden/>
              </w:rPr>
              <w:fldChar w:fldCharType="end"/>
            </w:r>
          </w:hyperlink>
        </w:p>
        <w:p w14:paraId="55213971" w14:textId="4415B1DA" w:rsidR="00405DBA" w:rsidRDefault="00405DBA">
          <w:pPr>
            <w:pStyle w:val="TM3"/>
            <w:rPr>
              <w:rFonts w:asciiTheme="minorHAnsi" w:eastAsiaTheme="minorEastAsia" w:hAnsiTheme="minorHAnsi"/>
              <w:noProof/>
              <w:kern w:val="2"/>
              <w:sz w:val="22"/>
              <w:lang w:val="en-US"/>
              <w14:ligatures w14:val="standardContextual"/>
            </w:rPr>
          </w:pPr>
          <w:hyperlink w:anchor="_Toc158208031" w:history="1">
            <w:r w:rsidRPr="000C1C6C">
              <w:rPr>
                <w:rStyle w:val="Lienhypertexte"/>
                <w:noProof/>
              </w:rPr>
              <w:t>3.</w:t>
            </w:r>
            <w:r>
              <w:rPr>
                <w:rFonts w:asciiTheme="minorHAnsi" w:eastAsiaTheme="minorEastAsia" w:hAnsiTheme="minorHAnsi"/>
                <w:noProof/>
                <w:kern w:val="2"/>
                <w:sz w:val="22"/>
                <w:lang w:val="en-US"/>
                <w14:ligatures w14:val="standardContextual"/>
              </w:rPr>
              <w:tab/>
            </w:r>
            <w:r w:rsidRPr="000C1C6C">
              <w:rPr>
                <w:rStyle w:val="Lienhypertexte"/>
                <w:noProof/>
              </w:rPr>
              <w:t>Les exonérations d’impôt temporaires</w:t>
            </w:r>
            <w:r>
              <w:rPr>
                <w:noProof/>
                <w:webHidden/>
              </w:rPr>
              <w:tab/>
            </w:r>
            <w:r>
              <w:rPr>
                <w:noProof/>
                <w:webHidden/>
              </w:rPr>
              <w:fldChar w:fldCharType="begin"/>
            </w:r>
            <w:r>
              <w:rPr>
                <w:noProof/>
                <w:webHidden/>
              </w:rPr>
              <w:instrText xml:space="preserve"> PAGEREF _Toc158208031 \h </w:instrText>
            </w:r>
            <w:r>
              <w:rPr>
                <w:noProof/>
                <w:webHidden/>
              </w:rPr>
            </w:r>
            <w:r>
              <w:rPr>
                <w:noProof/>
                <w:webHidden/>
              </w:rPr>
              <w:fldChar w:fldCharType="separate"/>
            </w:r>
            <w:r w:rsidR="002755CD">
              <w:rPr>
                <w:noProof/>
                <w:webHidden/>
              </w:rPr>
              <w:t>7</w:t>
            </w:r>
            <w:r>
              <w:rPr>
                <w:noProof/>
                <w:webHidden/>
              </w:rPr>
              <w:fldChar w:fldCharType="end"/>
            </w:r>
          </w:hyperlink>
        </w:p>
        <w:p w14:paraId="76A58FDF" w14:textId="44ED8ABA" w:rsidR="00405DBA" w:rsidRDefault="00405DBA">
          <w:pPr>
            <w:pStyle w:val="TM3"/>
            <w:rPr>
              <w:rFonts w:asciiTheme="minorHAnsi" w:eastAsiaTheme="minorEastAsia" w:hAnsiTheme="minorHAnsi"/>
              <w:noProof/>
              <w:kern w:val="2"/>
              <w:sz w:val="22"/>
              <w:lang w:val="en-US"/>
              <w14:ligatures w14:val="standardContextual"/>
            </w:rPr>
          </w:pPr>
          <w:hyperlink w:anchor="_Toc158208032" w:history="1">
            <w:r w:rsidRPr="000C1C6C">
              <w:rPr>
                <w:rStyle w:val="Lienhypertexte"/>
                <w:noProof/>
              </w:rPr>
              <w:t>4.</w:t>
            </w:r>
            <w:r>
              <w:rPr>
                <w:rFonts w:asciiTheme="minorHAnsi" w:eastAsiaTheme="minorEastAsia" w:hAnsiTheme="minorHAnsi"/>
                <w:noProof/>
                <w:kern w:val="2"/>
                <w:sz w:val="22"/>
                <w:lang w:val="en-US"/>
                <w14:ligatures w14:val="standardContextual"/>
              </w:rPr>
              <w:tab/>
            </w:r>
            <w:r w:rsidRPr="000C1C6C">
              <w:rPr>
                <w:rStyle w:val="Lienhypertexte"/>
                <w:noProof/>
              </w:rPr>
              <w:t>Les autres mesures d’aide</w:t>
            </w:r>
            <w:r>
              <w:rPr>
                <w:noProof/>
                <w:webHidden/>
              </w:rPr>
              <w:tab/>
            </w:r>
            <w:r>
              <w:rPr>
                <w:noProof/>
                <w:webHidden/>
              </w:rPr>
              <w:fldChar w:fldCharType="begin"/>
            </w:r>
            <w:r>
              <w:rPr>
                <w:noProof/>
                <w:webHidden/>
              </w:rPr>
              <w:instrText xml:space="preserve"> PAGEREF _Toc158208032 \h </w:instrText>
            </w:r>
            <w:r>
              <w:rPr>
                <w:noProof/>
                <w:webHidden/>
              </w:rPr>
            </w:r>
            <w:r>
              <w:rPr>
                <w:noProof/>
                <w:webHidden/>
              </w:rPr>
              <w:fldChar w:fldCharType="separate"/>
            </w:r>
            <w:r w:rsidR="002755CD">
              <w:rPr>
                <w:noProof/>
                <w:webHidden/>
              </w:rPr>
              <w:t>8</w:t>
            </w:r>
            <w:r>
              <w:rPr>
                <w:noProof/>
                <w:webHidden/>
              </w:rPr>
              <w:fldChar w:fldCharType="end"/>
            </w:r>
          </w:hyperlink>
        </w:p>
        <w:p w14:paraId="488D4676" w14:textId="74E41DCB" w:rsidR="00405DBA" w:rsidRDefault="00405DBA">
          <w:pPr>
            <w:pStyle w:val="TM2"/>
            <w:tabs>
              <w:tab w:val="left" w:pos="880"/>
              <w:tab w:val="right" w:leader="dot" w:pos="20921"/>
            </w:tabs>
            <w:rPr>
              <w:rFonts w:asciiTheme="minorHAnsi" w:eastAsiaTheme="minorEastAsia" w:hAnsiTheme="minorHAnsi"/>
              <w:noProof/>
              <w:kern w:val="2"/>
              <w:sz w:val="22"/>
              <w:lang w:val="en-US"/>
              <w14:ligatures w14:val="standardContextual"/>
            </w:rPr>
          </w:pPr>
          <w:hyperlink w:anchor="_Toc158208033" w:history="1">
            <w:r w:rsidRPr="000C1C6C">
              <w:rPr>
                <w:rStyle w:val="Lienhypertexte"/>
                <w:rFonts w:eastAsia="Times New Roman"/>
                <w:noProof/>
                <w:lang w:eastAsia="fr-FR"/>
              </w:rPr>
              <w:t>V.</w:t>
            </w:r>
            <w:r>
              <w:rPr>
                <w:rFonts w:asciiTheme="minorHAnsi" w:eastAsiaTheme="minorEastAsia" w:hAnsiTheme="minorHAnsi"/>
                <w:noProof/>
                <w:kern w:val="2"/>
                <w:sz w:val="22"/>
                <w:lang w:val="en-US"/>
                <w14:ligatures w14:val="standardContextual"/>
              </w:rPr>
              <w:tab/>
            </w:r>
            <w:r w:rsidRPr="000C1C6C">
              <w:rPr>
                <w:rStyle w:val="Lienhypertexte"/>
                <w:rFonts w:eastAsia="Times New Roman"/>
                <w:noProof/>
                <w:lang w:eastAsia="fr-FR"/>
              </w:rPr>
              <w:t>Contrôle fiscal et sanctions</w:t>
            </w:r>
            <w:r>
              <w:rPr>
                <w:noProof/>
                <w:webHidden/>
              </w:rPr>
              <w:tab/>
            </w:r>
            <w:r>
              <w:rPr>
                <w:noProof/>
                <w:webHidden/>
              </w:rPr>
              <w:fldChar w:fldCharType="begin"/>
            </w:r>
            <w:r>
              <w:rPr>
                <w:noProof/>
                <w:webHidden/>
              </w:rPr>
              <w:instrText xml:space="preserve"> PAGEREF _Toc158208033 \h </w:instrText>
            </w:r>
            <w:r>
              <w:rPr>
                <w:noProof/>
                <w:webHidden/>
              </w:rPr>
            </w:r>
            <w:r>
              <w:rPr>
                <w:noProof/>
                <w:webHidden/>
              </w:rPr>
              <w:fldChar w:fldCharType="separate"/>
            </w:r>
            <w:r w:rsidR="002755CD">
              <w:rPr>
                <w:noProof/>
                <w:webHidden/>
              </w:rPr>
              <w:t>10</w:t>
            </w:r>
            <w:r>
              <w:rPr>
                <w:noProof/>
                <w:webHidden/>
              </w:rPr>
              <w:fldChar w:fldCharType="end"/>
            </w:r>
          </w:hyperlink>
        </w:p>
        <w:p w14:paraId="6ED4FECC" w14:textId="3BCDA919" w:rsidR="00405DBA" w:rsidRDefault="00405DBA">
          <w:pPr>
            <w:pStyle w:val="TM3"/>
            <w:rPr>
              <w:rFonts w:asciiTheme="minorHAnsi" w:eastAsiaTheme="minorEastAsia" w:hAnsiTheme="minorHAnsi"/>
              <w:noProof/>
              <w:kern w:val="2"/>
              <w:sz w:val="22"/>
              <w:lang w:val="en-US"/>
              <w14:ligatures w14:val="standardContextual"/>
            </w:rPr>
          </w:pPr>
          <w:hyperlink w:anchor="_Toc158208034" w:history="1">
            <w:r w:rsidRPr="000C1C6C">
              <w:rPr>
                <w:rStyle w:val="Lienhypertexte"/>
                <w:noProof/>
              </w:rPr>
              <w:t>1.</w:t>
            </w:r>
            <w:r>
              <w:rPr>
                <w:rFonts w:asciiTheme="minorHAnsi" w:eastAsiaTheme="minorEastAsia" w:hAnsiTheme="minorHAnsi"/>
                <w:noProof/>
                <w:kern w:val="2"/>
                <w:sz w:val="22"/>
                <w:lang w:val="en-US"/>
                <w14:ligatures w14:val="standardContextual"/>
              </w:rPr>
              <w:tab/>
            </w:r>
            <w:r w:rsidRPr="000C1C6C">
              <w:rPr>
                <w:rStyle w:val="Lienhypertexte"/>
                <w:noProof/>
              </w:rPr>
              <w:t>Examen de comptabilité</w:t>
            </w:r>
            <w:r>
              <w:rPr>
                <w:noProof/>
                <w:webHidden/>
              </w:rPr>
              <w:tab/>
            </w:r>
            <w:r>
              <w:rPr>
                <w:noProof/>
                <w:webHidden/>
              </w:rPr>
              <w:fldChar w:fldCharType="begin"/>
            </w:r>
            <w:r>
              <w:rPr>
                <w:noProof/>
                <w:webHidden/>
              </w:rPr>
              <w:instrText xml:space="preserve"> PAGEREF _Toc158208034 \h </w:instrText>
            </w:r>
            <w:r>
              <w:rPr>
                <w:noProof/>
                <w:webHidden/>
              </w:rPr>
            </w:r>
            <w:r>
              <w:rPr>
                <w:noProof/>
                <w:webHidden/>
              </w:rPr>
              <w:fldChar w:fldCharType="separate"/>
            </w:r>
            <w:r w:rsidR="002755CD">
              <w:rPr>
                <w:noProof/>
                <w:webHidden/>
              </w:rPr>
              <w:t>10</w:t>
            </w:r>
            <w:r>
              <w:rPr>
                <w:noProof/>
                <w:webHidden/>
              </w:rPr>
              <w:fldChar w:fldCharType="end"/>
            </w:r>
          </w:hyperlink>
        </w:p>
        <w:p w14:paraId="7C3FC175" w14:textId="449C3FB9" w:rsidR="00405DBA" w:rsidRDefault="00405DBA">
          <w:pPr>
            <w:pStyle w:val="TM3"/>
            <w:rPr>
              <w:rFonts w:asciiTheme="minorHAnsi" w:eastAsiaTheme="minorEastAsia" w:hAnsiTheme="minorHAnsi"/>
              <w:noProof/>
              <w:kern w:val="2"/>
              <w:sz w:val="22"/>
              <w:lang w:val="en-US"/>
              <w14:ligatures w14:val="standardContextual"/>
            </w:rPr>
          </w:pPr>
          <w:hyperlink w:anchor="_Toc158208035" w:history="1">
            <w:r w:rsidRPr="000C1C6C">
              <w:rPr>
                <w:rStyle w:val="Lienhypertexte"/>
                <w:noProof/>
              </w:rPr>
              <w:t>2.</w:t>
            </w:r>
            <w:r>
              <w:rPr>
                <w:rFonts w:asciiTheme="minorHAnsi" w:eastAsiaTheme="minorEastAsia" w:hAnsiTheme="minorHAnsi"/>
                <w:noProof/>
                <w:kern w:val="2"/>
                <w:sz w:val="22"/>
                <w:lang w:val="en-US"/>
                <w14:ligatures w14:val="standardContextual"/>
              </w:rPr>
              <w:tab/>
            </w:r>
            <w:r w:rsidRPr="000C1C6C">
              <w:rPr>
                <w:rStyle w:val="Lienhypertexte"/>
                <w:noProof/>
              </w:rPr>
              <w:t>Garanties</w:t>
            </w:r>
            <w:r>
              <w:rPr>
                <w:noProof/>
                <w:webHidden/>
              </w:rPr>
              <w:tab/>
            </w:r>
            <w:r>
              <w:rPr>
                <w:noProof/>
                <w:webHidden/>
              </w:rPr>
              <w:fldChar w:fldCharType="begin"/>
            </w:r>
            <w:r>
              <w:rPr>
                <w:noProof/>
                <w:webHidden/>
              </w:rPr>
              <w:instrText xml:space="preserve"> PAGEREF _Toc158208035 \h </w:instrText>
            </w:r>
            <w:r>
              <w:rPr>
                <w:noProof/>
                <w:webHidden/>
              </w:rPr>
            </w:r>
            <w:r>
              <w:rPr>
                <w:noProof/>
                <w:webHidden/>
              </w:rPr>
              <w:fldChar w:fldCharType="separate"/>
            </w:r>
            <w:r w:rsidR="002755CD">
              <w:rPr>
                <w:noProof/>
                <w:webHidden/>
              </w:rPr>
              <w:t>10</w:t>
            </w:r>
            <w:r>
              <w:rPr>
                <w:noProof/>
                <w:webHidden/>
              </w:rPr>
              <w:fldChar w:fldCharType="end"/>
            </w:r>
          </w:hyperlink>
        </w:p>
        <w:p w14:paraId="34ED8E54" w14:textId="36C35392" w:rsidR="00405DBA" w:rsidRDefault="00405DBA">
          <w:pPr>
            <w:pStyle w:val="TM3"/>
            <w:rPr>
              <w:rFonts w:asciiTheme="minorHAnsi" w:eastAsiaTheme="minorEastAsia" w:hAnsiTheme="minorHAnsi"/>
              <w:noProof/>
              <w:kern w:val="2"/>
              <w:sz w:val="22"/>
              <w:lang w:val="en-US"/>
              <w14:ligatures w14:val="standardContextual"/>
            </w:rPr>
          </w:pPr>
          <w:hyperlink w:anchor="_Toc158208036" w:history="1">
            <w:r w:rsidRPr="000C1C6C">
              <w:rPr>
                <w:rStyle w:val="Lienhypertexte"/>
                <w:noProof/>
              </w:rPr>
              <w:t>3.</w:t>
            </w:r>
            <w:r>
              <w:rPr>
                <w:rFonts w:asciiTheme="minorHAnsi" w:eastAsiaTheme="minorEastAsia" w:hAnsiTheme="minorHAnsi"/>
                <w:noProof/>
                <w:kern w:val="2"/>
                <w:sz w:val="22"/>
                <w:lang w:val="en-US"/>
                <w14:ligatures w14:val="standardContextual"/>
              </w:rPr>
              <w:tab/>
            </w:r>
            <w:r w:rsidRPr="000C1C6C">
              <w:rPr>
                <w:rStyle w:val="Lienhypertexte"/>
                <w:noProof/>
              </w:rPr>
              <w:t>Vérification de comptabilité</w:t>
            </w:r>
            <w:r>
              <w:rPr>
                <w:noProof/>
                <w:webHidden/>
              </w:rPr>
              <w:tab/>
            </w:r>
            <w:r>
              <w:rPr>
                <w:noProof/>
                <w:webHidden/>
              </w:rPr>
              <w:fldChar w:fldCharType="begin"/>
            </w:r>
            <w:r>
              <w:rPr>
                <w:noProof/>
                <w:webHidden/>
              </w:rPr>
              <w:instrText xml:space="preserve"> PAGEREF _Toc158208036 \h </w:instrText>
            </w:r>
            <w:r>
              <w:rPr>
                <w:noProof/>
                <w:webHidden/>
              </w:rPr>
            </w:r>
            <w:r>
              <w:rPr>
                <w:noProof/>
                <w:webHidden/>
              </w:rPr>
              <w:fldChar w:fldCharType="separate"/>
            </w:r>
            <w:r w:rsidR="002755CD">
              <w:rPr>
                <w:noProof/>
                <w:webHidden/>
              </w:rPr>
              <w:t>11</w:t>
            </w:r>
            <w:r>
              <w:rPr>
                <w:noProof/>
                <w:webHidden/>
              </w:rPr>
              <w:fldChar w:fldCharType="end"/>
            </w:r>
          </w:hyperlink>
        </w:p>
        <w:p w14:paraId="187A0ADA" w14:textId="3C64E4EE" w:rsidR="00405DBA" w:rsidRDefault="00405DBA">
          <w:pPr>
            <w:pStyle w:val="TM3"/>
            <w:rPr>
              <w:rFonts w:asciiTheme="minorHAnsi" w:eastAsiaTheme="minorEastAsia" w:hAnsiTheme="minorHAnsi"/>
              <w:noProof/>
              <w:kern w:val="2"/>
              <w:sz w:val="22"/>
              <w:lang w:val="en-US"/>
              <w14:ligatures w14:val="standardContextual"/>
            </w:rPr>
          </w:pPr>
          <w:hyperlink w:anchor="_Toc158208037" w:history="1">
            <w:r w:rsidRPr="000C1C6C">
              <w:rPr>
                <w:rStyle w:val="Lienhypertexte"/>
                <w:noProof/>
              </w:rPr>
              <w:t>4.</w:t>
            </w:r>
            <w:r>
              <w:rPr>
                <w:rFonts w:asciiTheme="minorHAnsi" w:eastAsiaTheme="minorEastAsia" w:hAnsiTheme="minorHAnsi"/>
                <w:noProof/>
                <w:kern w:val="2"/>
                <w:sz w:val="22"/>
                <w:lang w:val="en-US"/>
                <w14:ligatures w14:val="standardContextual"/>
              </w:rPr>
              <w:tab/>
            </w:r>
            <w:r w:rsidRPr="000C1C6C">
              <w:rPr>
                <w:rStyle w:val="Lienhypertexte"/>
                <w:noProof/>
              </w:rPr>
              <w:t>Durée du contrôle</w:t>
            </w:r>
            <w:r>
              <w:rPr>
                <w:noProof/>
                <w:webHidden/>
              </w:rPr>
              <w:tab/>
            </w:r>
            <w:r>
              <w:rPr>
                <w:noProof/>
                <w:webHidden/>
              </w:rPr>
              <w:fldChar w:fldCharType="begin"/>
            </w:r>
            <w:r>
              <w:rPr>
                <w:noProof/>
                <w:webHidden/>
              </w:rPr>
              <w:instrText xml:space="preserve"> PAGEREF _Toc158208037 \h </w:instrText>
            </w:r>
            <w:r>
              <w:rPr>
                <w:noProof/>
                <w:webHidden/>
              </w:rPr>
            </w:r>
            <w:r>
              <w:rPr>
                <w:noProof/>
                <w:webHidden/>
              </w:rPr>
              <w:fldChar w:fldCharType="separate"/>
            </w:r>
            <w:r w:rsidR="002755CD">
              <w:rPr>
                <w:noProof/>
                <w:webHidden/>
              </w:rPr>
              <w:t>11</w:t>
            </w:r>
            <w:r>
              <w:rPr>
                <w:noProof/>
                <w:webHidden/>
              </w:rPr>
              <w:fldChar w:fldCharType="end"/>
            </w:r>
          </w:hyperlink>
        </w:p>
        <w:p w14:paraId="1CFF1AF9" w14:textId="34D53CE2" w:rsidR="00405DBA" w:rsidRDefault="00405DBA">
          <w:pPr>
            <w:pStyle w:val="TM3"/>
            <w:rPr>
              <w:rFonts w:asciiTheme="minorHAnsi" w:eastAsiaTheme="minorEastAsia" w:hAnsiTheme="minorHAnsi"/>
              <w:noProof/>
              <w:kern w:val="2"/>
              <w:sz w:val="22"/>
              <w:lang w:val="en-US"/>
              <w14:ligatures w14:val="standardContextual"/>
            </w:rPr>
          </w:pPr>
          <w:hyperlink w:anchor="_Toc158208038" w:history="1">
            <w:r w:rsidRPr="000C1C6C">
              <w:rPr>
                <w:rStyle w:val="Lienhypertexte"/>
                <w:noProof/>
              </w:rPr>
              <w:t>5.</w:t>
            </w:r>
            <w:r>
              <w:rPr>
                <w:rFonts w:asciiTheme="minorHAnsi" w:eastAsiaTheme="minorEastAsia" w:hAnsiTheme="minorHAnsi"/>
                <w:noProof/>
                <w:kern w:val="2"/>
                <w:sz w:val="22"/>
                <w:lang w:val="en-US"/>
                <w14:ligatures w14:val="standardContextual"/>
              </w:rPr>
              <w:tab/>
            </w:r>
            <w:r w:rsidRPr="000C1C6C">
              <w:rPr>
                <w:rStyle w:val="Lienhypertexte"/>
                <w:noProof/>
              </w:rPr>
              <w:t>Examen de conformité fiscale</w:t>
            </w:r>
            <w:r>
              <w:rPr>
                <w:noProof/>
                <w:webHidden/>
              </w:rPr>
              <w:tab/>
            </w:r>
            <w:r>
              <w:rPr>
                <w:noProof/>
                <w:webHidden/>
              </w:rPr>
              <w:fldChar w:fldCharType="begin"/>
            </w:r>
            <w:r>
              <w:rPr>
                <w:noProof/>
                <w:webHidden/>
              </w:rPr>
              <w:instrText xml:space="preserve"> PAGEREF _Toc158208038 \h </w:instrText>
            </w:r>
            <w:r>
              <w:rPr>
                <w:noProof/>
                <w:webHidden/>
              </w:rPr>
            </w:r>
            <w:r>
              <w:rPr>
                <w:noProof/>
                <w:webHidden/>
              </w:rPr>
              <w:fldChar w:fldCharType="separate"/>
            </w:r>
            <w:r w:rsidR="002755CD">
              <w:rPr>
                <w:noProof/>
                <w:webHidden/>
              </w:rPr>
              <w:t>12</w:t>
            </w:r>
            <w:r>
              <w:rPr>
                <w:noProof/>
                <w:webHidden/>
              </w:rPr>
              <w:fldChar w:fldCharType="end"/>
            </w:r>
          </w:hyperlink>
        </w:p>
        <w:p w14:paraId="01BA8AC4" w14:textId="178440CB" w:rsidR="00405DBA" w:rsidRDefault="00405DBA">
          <w:pPr>
            <w:pStyle w:val="TM3"/>
            <w:rPr>
              <w:rFonts w:asciiTheme="minorHAnsi" w:eastAsiaTheme="minorEastAsia" w:hAnsiTheme="minorHAnsi"/>
              <w:noProof/>
              <w:kern w:val="2"/>
              <w:sz w:val="22"/>
              <w:lang w:val="en-US"/>
              <w14:ligatures w14:val="standardContextual"/>
            </w:rPr>
          </w:pPr>
          <w:hyperlink w:anchor="_Toc158208039" w:history="1">
            <w:r w:rsidRPr="000C1C6C">
              <w:rPr>
                <w:rStyle w:val="Lienhypertexte"/>
                <w:noProof/>
              </w:rPr>
              <w:t>6.</w:t>
            </w:r>
            <w:r>
              <w:rPr>
                <w:rFonts w:asciiTheme="minorHAnsi" w:eastAsiaTheme="minorEastAsia" w:hAnsiTheme="minorHAnsi"/>
                <w:noProof/>
                <w:kern w:val="2"/>
                <w:sz w:val="22"/>
                <w:lang w:val="en-US"/>
                <w14:ligatures w14:val="standardContextual"/>
              </w:rPr>
              <w:tab/>
            </w:r>
            <w:r w:rsidRPr="000C1C6C">
              <w:rPr>
                <w:rStyle w:val="Lienhypertexte"/>
                <w:noProof/>
              </w:rPr>
              <w:t>Garantie fiscale (loi essoc)</w:t>
            </w:r>
            <w:r>
              <w:rPr>
                <w:noProof/>
                <w:webHidden/>
              </w:rPr>
              <w:tab/>
            </w:r>
            <w:r>
              <w:rPr>
                <w:noProof/>
                <w:webHidden/>
              </w:rPr>
              <w:fldChar w:fldCharType="begin"/>
            </w:r>
            <w:r>
              <w:rPr>
                <w:noProof/>
                <w:webHidden/>
              </w:rPr>
              <w:instrText xml:space="preserve"> PAGEREF _Toc158208039 \h </w:instrText>
            </w:r>
            <w:r>
              <w:rPr>
                <w:noProof/>
                <w:webHidden/>
              </w:rPr>
            </w:r>
            <w:r>
              <w:rPr>
                <w:noProof/>
                <w:webHidden/>
              </w:rPr>
              <w:fldChar w:fldCharType="separate"/>
            </w:r>
            <w:r w:rsidR="002755CD">
              <w:rPr>
                <w:noProof/>
                <w:webHidden/>
              </w:rPr>
              <w:t>13</w:t>
            </w:r>
            <w:r>
              <w:rPr>
                <w:noProof/>
                <w:webHidden/>
              </w:rPr>
              <w:fldChar w:fldCharType="end"/>
            </w:r>
          </w:hyperlink>
        </w:p>
        <w:p w14:paraId="76D52D41" w14:textId="6C6A3F8B" w:rsidR="00B8067C" w:rsidRDefault="00B8067C">
          <w:r>
            <w:rPr>
              <w:b/>
              <w:bCs/>
              <w:noProof/>
            </w:rPr>
            <w:fldChar w:fldCharType="end"/>
          </w:r>
        </w:p>
      </w:sdtContent>
    </w:sdt>
    <w:p w14:paraId="195FC356" w14:textId="15EB170F" w:rsidR="00B8067C" w:rsidRDefault="00B8067C"/>
    <w:p w14:paraId="15350499" w14:textId="77777777" w:rsidR="002832B4" w:rsidRDefault="00B42117" w:rsidP="002832B4">
      <w:pPr>
        <w:rPr>
          <w:rFonts w:eastAsia="Times New Roman"/>
          <w:color w:val="2F5496" w:themeColor="accent1" w:themeShade="BF"/>
          <w:lang w:eastAsia="fr-FR"/>
        </w:rPr>
      </w:pPr>
      <w:r>
        <w:rPr>
          <w:rFonts w:eastAsia="Times New Roman"/>
          <w:color w:val="2F5496" w:themeColor="accent1" w:themeShade="BF"/>
          <w:lang w:eastAsia="fr-FR"/>
        </w:rPr>
        <w:br w:type="page"/>
      </w:r>
      <w:bookmarkStart w:id="0" w:name="_Toc158208023"/>
    </w:p>
    <w:p w14:paraId="091B7F5F" w14:textId="703F18AB" w:rsidR="002832B4" w:rsidRDefault="002832B4" w:rsidP="002832B4">
      <w:pPr>
        <w:rPr>
          <w:rFonts w:eastAsia="Times New Roman"/>
          <w:color w:val="2F5496" w:themeColor="accent1" w:themeShade="BF"/>
          <w:lang w:eastAsia="fr-FR"/>
        </w:rPr>
      </w:pPr>
      <w:r>
        <w:rPr>
          <w:rFonts w:eastAsia="Times New Roman"/>
          <w:noProof/>
          <w:color w:val="2F5496" w:themeColor="accent1" w:themeShade="BF"/>
          <w:lang w:eastAsia="fr-FR"/>
          <w14:ligatures w14:val="standardContextual"/>
        </w:rPr>
        <w:lastRenderedPageBreak/>
        <mc:AlternateContent>
          <mc:Choice Requires="wps">
            <w:drawing>
              <wp:anchor distT="0" distB="0" distL="114300" distR="114300" simplePos="0" relativeHeight="251662336" behindDoc="1" locked="0" layoutInCell="1" allowOverlap="1" wp14:anchorId="3FA25C25" wp14:editId="5BFC9429">
                <wp:simplePos x="0" y="0"/>
                <wp:positionH relativeFrom="column">
                  <wp:posOffset>-900752</wp:posOffset>
                </wp:positionH>
                <wp:positionV relativeFrom="paragraph">
                  <wp:posOffset>-218127</wp:posOffset>
                </wp:positionV>
                <wp:extent cx="15244549" cy="8734567"/>
                <wp:effectExtent l="0" t="0" r="14605" b="28575"/>
                <wp:wrapNone/>
                <wp:docPr id="1387487096" name="Rectangle 4"/>
                <wp:cNvGraphicFramePr/>
                <a:graphic xmlns:a="http://schemas.openxmlformats.org/drawingml/2006/main">
                  <a:graphicData uri="http://schemas.microsoft.com/office/word/2010/wordprocessingShape">
                    <wps:wsp>
                      <wps:cNvSpPr/>
                      <wps:spPr>
                        <a:xfrm>
                          <a:off x="0" y="0"/>
                          <a:ext cx="15244549" cy="8734567"/>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BA8596" id="Rectangle 4" o:spid="_x0000_s1026" style="position:absolute;margin-left:-70.95pt;margin-top:-17.2pt;width:1200.35pt;height:687.7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" fillcolor="#4472c4 [3204]" strokecolor="#09101d [484]" strokeweight="1pt"/>
            </w:pict>
          </mc:Fallback>
        </mc:AlternateContent>
      </w:r>
    </w:p>
    <w:p w14:paraId="2A2DCA4C" w14:textId="77777777" w:rsidR="002832B4" w:rsidRDefault="002832B4" w:rsidP="002832B4">
      <w:pPr>
        <w:rPr>
          <w:rFonts w:eastAsia="Times New Roman"/>
          <w:color w:val="2F5496" w:themeColor="accent1" w:themeShade="BF"/>
          <w:lang w:eastAsia="fr-FR"/>
        </w:rPr>
      </w:pPr>
    </w:p>
    <w:p w14:paraId="2A2D3D33" w14:textId="77777777" w:rsidR="002832B4" w:rsidRDefault="002832B4" w:rsidP="002832B4">
      <w:pPr>
        <w:rPr>
          <w:rFonts w:eastAsia="Times New Roman"/>
          <w:color w:val="2F5496" w:themeColor="accent1" w:themeShade="BF"/>
          <w:lang w:eastAsia="fr-FR"/>
        </w:rPr>
      </w:pPr>
    </w:p>
    <w:p w14:paraId="7DF4CAB0" w14:textId="77777777" w:rsidR="002832B4" w:rsidRDefault="002832B4" w:rsidP="002832B4">
      <w:pPr>
        <w:rPr>
          <w:rFonts w:eastAsia="Times New Roman"/>
          <w:color w:val="2F5496" w:themeColor="accent1" w:themeShade="BF"/>
          <w:lang w:eastAsia="fr-FR"/>
        </w:rPr>
      </w:pPr>
    </w:p>
    <w:p w14:paraId="217998EB" w14:textId="77777777" w:rsidR="002832B4" w:rsidRDefault="002832B4" w:rsidP="002832B4">
      <w:pPr>
        <w:rPr>
          <w:rFonts w:eastAsia="Times New Roman"/>
          <w:color w:val="2F5496" w:themeColor="accent1" w:themeShade="BF"/>
          <w:lang w:eastAsia="fr-FR"/>
        </w:rPr>
      </w:pPr>
    </w:p>
    <w:p w14:paraId="10B67157" w14:textId="77777777" w:rsidR="002832B4" w:rsidRDefault="002832B4" w:rsidP="002832B4">
      <w:pPr>
        <w:rPr>
          <w:rFonts w:eastAsia="Times New Roman"/>
          <w:color w:val="2F5496" w:themeColor="accent1" w:themeShade="BF"/>
          <w:lang w:eastAsia="fr-FR"/>
        </w:rPr>
      </w:pPr>
    </w:p>
    <w:p w14:paraId="65B5F2B4" w14:textId="77777777" w:rsidR="002832B4" w:rsidRDefault="002832B4" w:rsidP="002832B4">
      <w:pPr>
        <w:rPr>
          <w:rFonts w:eastAsia="Times New Roman"/>
          <w:color w:val="2F5496" w:themeColor="accent1" w:themeShade="BF"/>
          <w:lang w:eastAsia="fr-FR"/>
        </w:rPr>
      </w:pPr>
    </w:p>
    <w:p w14:paraId="2252905B" w14:textId="77777777" w:rsidR="002832B4" w:rsidRDefault="002832B4" w:rsidP="002832B4">
      <w:pPr>
        <w:rPr>
          <w:rFonts w:eastAsia="Times New Roman"/>
          <w:color w:val="2F5496" w:themeColor="accent1" w:themeShade="BF"/>
          <w:lang w:eastAsia="fr-FR"/>
        </w:rPr>
      </w:pPr>
    </w:p>
    <w:p w14:paraId="3351CAAD" w14:textId="77777777" w:rsidR="002832B4" w:rsidRDefault="002832B4" w:rsidP="002832B4">
      <w:pPr>
        <w:rPr>
          <w:rFonts w:eastAsia="Times New Roman"/>
          <w:color w:val="2F5496" w:themeColor="accent1" w:themeShade="BF"/>
          <w:lang w:eastAsia="fr-FR"/>
        </w:rPr>
      </w:pPr>
    </w:p>
    <w:p w14:paraId="5613C11D" w14:textId="5478A4A9" w:rsidR="002832B4" w:rsidRPr="002832B4" w:rsidRDefault="002B65BE" w:rsidP="002832B4">
      <w:pPr>
        <w:pStyle w:val="Titre1"/>
      </w:pPr>
      <w:r w:rsidRPr="002832B4">
        <w:t>Principes généraux</w:t>
      </w:r>
      <w:bookmarkEnd w:id="0"/>
    </w:p>
    <w:p w14:paraId="284FFC87" w14:textId="77777777" w:rsidR="002832B4" w:rsidRDefault="002832B4" w:rsidP="002832B4">
      <w:pPr>
        <w:pStyle w:val="CGPC-elearning"/>
        <w:rPr>
          <w:color w:val="3A5D9C"/>
          <w:sz w:val="52"/>
          <w:szCs w:val="26"/>
          <w:bdr w:val="none" w:sz="0" w:space="0" w:color="auto" w:frame="1"/>
          <w:lang w:eastAsia="fr-FR"/>
        </w:rPr>
      </w:pPr>
      <w:r>
        <w:rPr>
          <w:lang w:eastAsia="fr-FR"/>
        </w:rPr>
        <w:br w:type="page"/>
      </w:r>
    </w:p>
    <w:p w14:paraId="4EE45572" w14:textId="7694606E" w:rsidR="002B65BE" w:rsidRPr="00E32EF5" w:rsidRDefault="002B65BE" w:rsidP="002B65BE">
      <w:pPr>
        <w:pStyle w:val="CGPC-elearning"/>
        <w:rPr>
          <w:lang w:eastAsia="fr-FR"/>
        </w:rPr>
      </w:pPr>
      <w:r w:rsidRPr="00E32EF5">
        <w:rPr>
          <w:lang w:eastAsia="fr-FR"/>
        </w:rPr>
        <w:lastRenderedPageBreak/>
        <w:t>La nature de l’impôt, impôt sur le revenu ou impôt sur les sociétés, diffère selon certains critères liés soit à la forme de la société, soit à l’activité exercée par la société ou bien encore peut être choisi sur option.</w:t>
      </w:r>
    </w:p>
    <w:p w14:paraId="28AED414" w14:textId="77777777" w:rsidR="002B65BE" w:rsidRPr="00E32EF5" w:rsidRDefault="002B65BE" w:rsidP="002B65BE">
      <w:pPr>
        <w:pStyle w:val="CGPC-elearning"/>
        <w:rPr>
          <w:lang w:eastAsia="fr-FR"/>
        </w:rPr>
      </w:pPr>
      <w:r w:rsidRPr="00E32EF5">
        <w:rPr>
          <w:lang w:eastAsia="fr-FR"/>
        </w:rPr>
        <w:t> </w:t>
      </w:r>
    </w:p>
    <w:p w14:paraId="560AB8B0" w14:textId="77777777" w:rsidR="002B65BE" w:rsidRPr="00E32EF5" w:rsidRDefault="002B65BE" w:rsidP="002B65BE">
      <w:pPr>
        <w:pStyle w:val="CGPC-elearning"/>
        <w:rPr>
          <w:lang w:eastAsia="fr-FR"/>
        </w:rPr>
      </w:pPr>
      <w:r w:rsidRPr="00E32EF5">
        <w:rPr>
          <w:u w:val="single"/>
          <w:bdr w:val="none" w:sz="0" w:space="0" w:color="auto" w:frame="1"/>
          <w:lang w:eastAsia="fr-FR"/>
        </w:rPr>
        <w:t>Critère lié à la forme sociétaire</w:t>
      </w:r>
    </w:p>
    <w:p w14:paraId="745C2554" w14:textId="77777777" w:rsidR="002B65BE" w:rsidRPr="00E32EF5" w:rsidRDefault="002B65BE" w:rsidP="002B65BE">
      <w:pPr>
        <w:pStyle w:val="CGPC-elearning"/>
        <w:rPr>
          <w:lang w:eastAsia="fr-FR"/>
        </w:rPr>
      </w:pPr>
      <w:r w:rsidRPr="00E32EF5">
        <w:rPr>
          <w:lang w:eastAsia="fr-FR"/>
        </w:rPr>
        <w:t>Les sociétés qui relèvent de l’IR sont :</w:t>
      </w:r>
    </w:p>
    <w:p w14:paraId="0E110F37" w14:textId="77777777" w:rsidR="002B65BE" w:rsidRPr="00E32EF5" w:rsidRDefault="002B65BE" w:rsidP="00D613E3">
      <w:pPr>
        <w:pStyle w:val="CGPC-elearning"/>
        <w:ind w:firstLine="708"/>
        <w:rPr>
          <w:lang w:eastAsia="fr-FR"/>
        </w:rPr>
      </w:pPr>
      <w:r w:rsidRPr="00E32EF5">
        <w:rPr>
          <w:lang w:eastAsia="fr-FR"/>
        </w:rPr>
        <w:t>les SNC (sociétés en nom collectif),</w:t>
      </w:r>
    </w:p>
    <w:p w14:paraId="3F8162A9" w14:textId="77777777" w:rsidR="002B65BE" w:rsidRPr="00E32EF5" w:rsidRDefault="002B65BE" w:rsidP="00D613E3">
      <w:pPr>
        <w:pStyle w:val="CGPC-elearning"/>
        <w:ind w:firstLine="708"/>
        <w:rPr>
          <w:lang w:eastAsia="fr-FR"/>
        </w:rPr>
      </w:pPr>
      <w:r w:rsidRPr="00E32EF5">
        <w:rPr>
          <w:lang w:eastAsia="fr-FR"/>
        </w:rPr>
        <w:t>les sociétés civiles,</w:t>
      </w:r>
    </w:p>
    <w:p w14:paraId="61B2B147" w14:textId="77777777" w:rsidR="002B65BE" w:rsidRPr="00E32EF5" w:rsidRDefault="002B65BE" w:rsidP="00D613E3">
      <w:pPr>
        <w:pStyle w:val="CGPC-elearning"/>
        <w:ind w:firstLine="708"/>
        <w:rPr>
          <w:lang w:eastAsia="fr-FR"/>
        </w:rPr>
      </w:pPr>
      <w:r w:rsidRPr="00E32EF5">
        <w:rPr>
          <w:lang w:eastAsia="fr-FR"/>
        </w:rPr>
        <w:t>les sociétés en commandite simple,</w:t>
      </w:r>
    </w:p>
    <w:p w14:paraId="1F47E05D" w14:textId="77777777" w:rsidR="002B65BE" w:rsidRPr="00E32EF5" w:rsidRDefault="002B65BE" w:rsidP="00D613E3">
      <w:pPr>
        <w:pStyle w:val="CGPC-elearning"/>
        <w:ind w:firstLine="708"/>
        <w:rPr>
          <w:lang w:eastAsia="fr-FR"/>
        </w:rPr>
      </w:pPr>
      <w:r w:rsidRPr="00E32EF5">
        <w:rPr>
          <w:lang w:eastAsia="fr-FR"/>
        </w:rPr>
        <w:t>les EURL (entreprises unipersonnelles à responsabilité limitée lorsque l’associé unique est une personne physique).</w:t>
      </w:r>
    </w:p>
    <w:p w14:paraId="23771505" w14:textId="77777777" w:rsidR="002B65BE" w:rsidRPr="00E32EF5" w:rsidRDefault="002B65BE" w:rsidP="002B65BE">
      <w:pPr>
        <w:pStyle w:val="CGPC-elearning"/>
        <w:rPr>
          <w:lang w:eastAsia="fr-FR"/>
        </w:rPr>
      </w:pPr>
      <w:r w:rsidRPr="00E32EF5">
        <w:rPr>
          <w:lang w:eastAsia="fr-FR"/>
        </w:rPr>
        <w:t> </w:t>
      </w:r>
    </w:p>
    <w:p w14:paraId="2A6E345D" w14:textId="77777777" w:rsidR="002B65BE" w:rsidRPr="00E32EF5" w:rsidRDefault="002B65BE" w:rsidP="002B65BE">
      <w:pPr>
        <w:pStyle w:val="CGPC-elearning"/>
        <w:rPr>
          <w:lang w:eastAsia="fr-FR"/>
        </w:rPr>
      </w:pPr>
      <w:r w:rsidRPr="00E32EF5">
        <w:rPr>
          <w:lang w:eastAsia="fr-FR"/>
        </w:rPr>
        <w:t>Les sociétés qui relèvent de l’IS sont :</w:t>
      </w:r>
    </w:p>
    <w:p w14:paraId="60DB9B91" w14:textId="77777777" w:rsidR="002B65BE" w:rsidRPr="00E32EF5" w:rsidRDefault="002B65BE" w:rsidP="00D613E3">
      <w:pPr>
        <w:pStyle w:val="CGPC-elearning"/>
        <w:ind w:firstLine="708"/>
        <w:rPr>
          <w:lang w:eastAsia="fr-FR"/>
        </w:rPr>
      </w:pPr>
      <w:r w:rsidRPr="00E32EF5">
        <w:rPr>
          <w:lang w:eastAsia="fr-FR"/>
        </w:rPr>
        <w:t>les sociétés anonymes (SA),</w:t>
      </w:r>
    </w:p>
    <w:p w14:paraId="63EBE3F6" w14:textId="77777777" w:rsidR="002B65BE" w:rsidRPr="00E32EF5" w:rsidRDefault="002B65BE" w:rsidP="00D613E3">
      <w:pPr>
        <w:pStyle w:val="CGPC-elearning"/>
        <w:ind w:firstLine="708"/>
        <w:rPr>
          <w:lang w:eastAsia="fr-FR"/>
        </w:rPr>
      </w:pPr>
      <w:r w:rsidRPr="00E32EF5">
        <w:rPr>
          <w:lang w:eastAsia="fr-FR"/>
        </w:rPr>
        <w:t>les sociétés par actions simplifiées (SAS), y compris les SASU,</w:t>
      </w:r>
    </w:p>
    <w:p w14:paraId="6B954FD9" w14:textId="77777777" w:rsidR="002B65BE" w:rsidRPr="00E32EF5" w:rsidRDefault="002B65BE" w:rsidP="00D613E3">
      <w:pPr>
        <w:pStyle w:val="CGPC-elearning"/>
        <w:ind w:firstLine="708"/>
        <w:rPr>
          <w:lang w:eastAsia="fr-FR"/>
        </w:rPr>
      </w:pPr>
      <w:r w:rsidRPr="00E32EF5">
        <w:rPr>
          <w:lang w:eastAsia="fr-FR"/>
        </w:rPr>
        <w:t>les sociétés en commandite par actions,</w:t>
      </w:r>
    </w:p>
    <w:p w14:paraId="5A251EDB" w14:textId="77777777" w:rsidR="002B65BE" w:rsidRPr="00E32EF5" w:rsidRDefault="002B65BE" w:rsidP="00D613E3">
      <w:pPr>
        <w:pStyle w:val="CGPC-elearning"/>
        <w:ind w:firstLine="708"/>
        <w:rPr>
          <w:lang w:eastAsia="fr-FR"/>
        </w:rPr>
      </w:pPr>
      <w:r w:rsidRPr="00E32EF5">
        <w:rPr>
          <w:lang w:eastAsia="fr-FR"/>
        </w:rPr>
        <w:t>les sociétés à responsabilité limitée (SARL),</w:t>
      </w:r>
    </w:p>
    <w:p w14:paraId="5D1DAE78" w14:textId="77777777" w:rsidR="002B65BE" w:rsidRPr="00E32EF5" w:rsidRDefault="002B65BE" w:rsidP="00D613E3">
      <w:pPr>
        <w:pStyle w:val="CGPC-elearning"/>
        <w:ind w:firstLine="708"/>
        <w:rPr>
          <w:lang w:eastAsia="fr-FR"/>
        </w:rPr>
      </w:pPr>
      <w:r w:rsidRPr="00E32EF5">
        <w:rPr>
          <w:lang w:eastAsia="fr-FR"/>
        </w:rPr>
        <w:t>les sociétés de coopératives</w:t>
      </w:r>
    </w:p>
    <w:p w14:paraId="56BB158C" w14:textId="77777777" w:rsidR="002B65BE" w:rsidRPr="00E32EF5" w:rsidRDefault="002B65BE" w:rsidP="00B1793E">
      <w:pPr>
        <w:pStyle w:val="CGPC-elearning"/>
        <w:ind w:firstLine="708"/>
        <w:rPr>
          <w:lang w:eastAsia="fr-FR"/>
        </w:rPr>
      </w:pPr>
      <w:r w:rsidRPr="00E32EF5">
        <w:rPr>
          <w:lang w:eastAsia="fr-FR"/>
        </w:rPr>
        <w:t>les EURL (entreprises unipersonnelles à responsabilité limitée lorsque l’associé unique est une personne morale.</w:t>
      </w:r>
    </w:p>
    <w:p w14:paraId="62368189" w14:textId="77777777" w:rsidR="002B65BE" w:rsidRPr="00E32EF5" w:rsidRDefault="002B65BE" w:rsidP="002B65BE">
      <w:pPr>
        <w:pStyle w:val="CGPC-elearning"/>
        <w:rPr>
          <w:lang w:eastAsia="fr-FR"/>
        </w:rPr>
      </w:pPr>
      <w:r w:rsidRPr="00E32EF5">
        <w:rPr>
          <w:lang w:eastAsia="fr-FR"/>
        </w:rPr>
        <w:t> </w:t>
      </w:r>
    </w:p>
    <w:p w14:paraId="60145144" w14:textId="77777777" w:rsidR="002B65BE" w:rsidRPr="00E32EF5" w:rsidRDefault="002B65BE" w:rsidP="002B65BE">
      <w:pPr>
        <w:pStyle w:val="CGPC-elearning"/>
        <w:rPr>
          <w:lang w:eastAsia="fr-FR"/>
        </w:rPr>
      </w:pPr>
      <w:r w:rsidRPr="00E32EF5">
        <w:rPr>
          <w:u w:val="single"/>
          <w:bdr w:val="none" w:sz="0" w:space="0" w:color="auto" w:frame="1"/>
          <w:lang w:eastAsia="fr-FR"/>
        </w:rPr>
        <w:t>Critère optionnel</w:t>
      </w:r>
    </w:p>
    <w:p w14:paraId="067E7825" w14:textId="77777777" w:rsidR="002B65BE" w:rsidRPr="00E32EF5" w:rsidRDefault="002B65BE" w:rsidP="002B65BE">
      <w:pPr>
        <w:pStyle w:val="CGPC-elearning"/>
        <w:rPr>
          <w:lang w:eastAsia="fr-FR"/>
        </w:rPr>
      </w:pPr>
      <w:r w:rsidRPr="00E32EF5">
        <w:rPr>
          <w:lang w:eastAsia="fr-FR"/>
        </w:rPr>
        <w:t xml:space="preserve">Les SNC, les EURL dont l’associé unique est une personne physique, les SCP, les exploitations EARL, les sociétés en commandite simple ou en participation, les sociétés civiles n’exerçant pas une activité commerciale ou industrielle (donc non assujetties de plein droit à l’IS) et les </w:t>
      </w:r>
      <w:r w:rsidRPr="00E32EF5">
        <w:rPr>
          <w:lang w:eastAsia="fr-FR"/>
        </w:rPr>
        <w:lastRenderedPageBreak/>
        <w:t>sociétés de fait voient en général leurs bénéfices imposés au nom personnel des associés, en proportion de leurs droits et suivant leur propre régime fiscal. Mais ces sociétés </w:t>
      </w:r>
      <w:r w:rsidRPr="00E32EF5">
        <w:rPr>
          <w:b/>
          <w:bdr w:val="none" w:sz="0" w:space="0" w:color="auto" w:frame="1"/>
          <w:lang w:eastAsia="fr-FR"/>
        </w:rPr>
        <w:t>ont la possibilité d’opter pour l’IS</w:t>
      </w:r>
      <w:r w:rsidRPr="00E32EF5">
        <w:rPr>
          <w:lang w:eastAsia="fr-FR"/>
        </w:rPr>
        <w:t>.</w:t>
      </w:r>
    </w:p>
    <w:p w14:paraId="3CD3E022" w14:textId="7CAA411C" w:rsidR="0036482C" w:rsidRDefault="002B65BE" w:rsidP="002B65BE">
      <w:pPr>
        <w:pStyle w:val="CGPC-elearning"/>
        <w:rPr>
          <w:lang w:eastAsia="fr-FR"/>
        </w:rPr>
      </w:pPr>
      <w:r>
        <w:rPr>
          <w:b/>
          <w:bdr w:val="none" w:sz="0" w:space="0" w:color="auto" w:frame="1"/>
          <w:lang w:eastAsia="fr-FR"/>
        </w:rPr>
        <w:t>Si l’option est formulée dans les cinq années de la création de l’entreprise on peut y renoncer dans cette période</w:t>
      </w:r>
      <w:r w:rsidRPr="00E32EF5">
        <w:rPr>
          <w:lang w:eastAsia="fr-FR"/>
        </w:rPr>
        <w:t>.</w:t>
      </w:r>
    </w:p>
    <w:p w14:paraId="2A90CF60" w14:textId="77777777" w:rsidR="0036482C" w:rsidRDefault="0036482C" w:rsidP="0036482C">
      <w:pPr>
        <w:pStyle w:val="CGPC-elearning"/>
        <w:rPr>
          <w:lang w:eastAsia="fr-FR"/>
        </w:rPr>
      </w:pPr>
      <w:r>
        <w:rPr>
          <w:lang w:eastAsia="fr-FR"/>
        </w:rPr>
        <w:br w:type="page"/>
      </w:r>
    </w:p>
    <w:p w14:paraId="21FBC669" w14:textId="5941A020" w:rsidR="00C6408A" w:rsidRDefault="00C6408A" w:rsidP="00C6408A">
      <w:bookmarkStart w:id="1" w:name="_Toc158208024"/>
      <w:r>
        <w:rPr>
          <w:noProof/>
          <w14:ligatures w14:val="standardContextual"/>
        </w:rPr>
        <w:lastRenderedPageBreak/>
        <mc:AlternateContent>
          <mc:Choice Requires="wps">
            <w:drawing>
              <wp:anchor distT="0" distB="0" distL="114300" distR="114300" simplePos="0" relativeHeight="251663360" behindDoc="1" locked="0" layoutInCell="1" allowOverlap="1" wp14:anchorId="45A8C5D7" wp14:editId="6FBE3021">
                <wp:simplePos x="0" y="0"/>
                <wp:positionH relativeFrom="column">
                  <wp:posOffset>-900430</wp:posOffset>
                </wp:positionH>
                <wp:positionV relativeFrom="paragraph">
                  <wp:posOffset>-245432</wp:posOffset>
                </wp:positionV>
                <wp:extent cx="15967880" cy="8844886"/>
                <wp:effectExtent l="0" t="0" r="15240" b="13970"/>
                <wp:wrapNone/>
                <wp:docPr id="205768119" name="Rectangle 5"/>
                <wp:cNvGraphicFramePr/>
                <a:graphic xmlns:a="http://schemas.openxmlformats.org/drawingml/2006/main">
                  <a:graphicData uri="http://schemas.microsoft.com/office/word/2010/wordprocessingShape">
                    <wps:wsp>
                      <wps:cNvSpPr/>
                      <wps:spPr>
                        <a:xfrm>
                          <a:off x="0" y="0"/>
                          <a:ext cx="15967880" cy="8844886"/>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225093" id="Rectangle 5" o:spid="_x0000_s1026" style="position:absolute;margin-left:-70.9pt;margin-top:-19.35pt;width:1257.3pt;height:696.4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" fillcolor="#4472c4 [3204]" strokecolor="#09101d [484]" strokeweight="1pt"/>
            </w:pict>
          </mc:Fallback>
        </mc:AlternateContent>
      </w:r>
    </w:p>
    <w:p w14:paraId="7AF13ED7" w14:textId="77777777" w:rsidR="00C6408A" w:rsidRDefault="00C6408A" w:rsidP="00C6408A"/>
    <w:p w14:paraId="11E69267" w14:textId="77777777" w:rsidR="00C6408A" w:rsidRDefault="00C6408A" w:rsidP="00C6408A"/>
    <w:p w14:paraId="5776FCAA" w14:textId="77777777" w:rsidR="00C6408A" w:rsidRDefault="00C6408A" w:rsidP="00C6408A"/>
    <w:p w14:paraId="31C85785" w14:textId="77777777" w:rsidR="00C6408A" w:rsidRDefault="00C6408A" w:rsidP="00C6408A"/>
    <w:p w14:paraId="3B9D226B" w14:textId="77777777" w:rsidR="00C6408A" w:rsidRDefault="00C6408A" w:rsidP="00C6408A"/>
    <w:p w14:paraId="6CC2E2C1" w14:textId="77777777" w:rsidR="00C6408A" w:rsidRDefault="00C6408A" w:rsidP="00C6408A"/>
    <w:p w14:paraId="11371CDB" w14:textId="77777777" w:rsidR="00C6408A" w:rsidRDefault="00C6408A" w:rsidP="00C6408A"/>
    <w:p w14:paraId="54BC52A3" w14:textId="77777777" w:rsidR="00C6408A" w:rsidRDefault="00C6408A" w:rsidP="00C6408A"/>
    <w:p w14:paraId="274A5723" w14:textId="0A5AB41C" w:rsidR="002B65BE" w:rsidRPr="00C6408A" w:rsidRDefault="002B65BE" w:rsidP="00C6408A">
      <w:pPr>
        <w:pStyle w:val="Titre1"/>
      </w:pPr>
      <w:r w:rsidRPr="00C6408A">
        <w:t>Sociétés pouvant opter pour le régime des sociétés de personnes</w:t>
      </w:r>
      <w:bookmarkEnd w:id="1"/>
    </w:p>
    <w:p w14:paraId="49E43E6D" w14:textId="77777777" w:rsidR="002B65BE" w:rsidRDefault="002B65BE" w:rsidP="002B65BE">
      <w:pPr>
        <w:spacing w:after="0" w:line="360" w:lineRule="atLeast"/>
        <w:textAlignment w:val="baseline"/>
        <w:rPr>
          <w:rFonts w:eastAsia="Times New Roman" w:cs="Open Sans"/>
          <w:b/>
          <w:bCs/>
          <w:color w:val="666666"/>
          <w:sz w:val="20"/>
          <w:szCs w:val="20"/>
          <w:bdr w:val="none" w:sz="0" w:space="0" w:color="auto" w:frame="1"/>
          <w:lang w:eastAsia="fr-FR"/>
        </w:rPr>
      </w:pPr>
    </w:p>
    <w:p w14:paraId="0AC591D6" w14:textId="77777777" w:rsidR="00C6408A" w:rsidRDefault="00C6408A">
      <w:pPr>
        <w:jc w:val="left"/>
        <w:rPr>
          <w:rFonts w:cs="Open Sans"/>
          <w:b/>
          <w:bCs/>
          <w:kern w:val="2"/>
          <w:szCs w:val="36"/>
          <w:bdr w:val="none" w:sz="0" w:space="0" w:color="auto" w:frame="1"/>
          <w:lang w:eastAsia="fr-FR"/>
          <w14:ligatures w14:val="standardContextual"/>
        </w:rPr>
      </w:pPr>
      <w:r>
        <w:rPr>
          <w:b/>
          <w:bdr w:val="none" w:sz="0" w:space="0" w:color="auto" w:frame="1"/>
          <w:lang w:eastAsia="fr-FR"/>
        </w:rPr>
        <w:br w:type="page"/>
      </w:r>
    </w:p>
    <w:p w14:paraId="69FDAAEF" w14:textId="1E284AAD" w:rsidR="002B65BE" w:rsidRPr="00E32EF5" w:rsidRDefault="002B65BE" w:rsidP="002B65BE">
      <w:pPr>
        <w:pStyle w:val="CGPC-elearning"/>
        <w:rPr>
          <w:lang w:eastAsia="fr-FR"/>
        </w:rPr>
      </w:pPr>
      <w:r w:rsidRPr="00E32EF5">
        <w:rPr>
          <w:b/>
          <w:bdr w:val="none" w:sz="0" w:space="0" w:color="auto" w:frame="1"/>
          <w:lang w:eastAsia="fr-FR"/>
        </w:rPr>
        <w:lastRenderedPageBreak/>
        <w:t>Les SARL de famille</w:t>
      </w:r>
      <w:r w:rsidRPr="00E32EF5">
        <w:rPr>
          <w:lang w:eastAsia="fr-FR"/>
        </w:rPr>
        <w:t>, normalement soumises à l’IS, peuvent </w:t>
      </w:r>
      <w:r w:rsidRPr="00E32EF5">
        <w:rPr>
          <w:b/>
          <w:bdr w:val="none" w:sz="0" w:space="0" w:color="auto" w:frame="1"/>
          <w:lang w:eastAsia="fr-FR"/>
        </w:rPr>
        <w:t>opter pour le régime des sociétés de personnes</w:t>
      </w:r>
      <w:r w:rsidRPr="00E32EF5">
        <w:rPr>
          <w:lang w:eastAsia="fr-FR"/>
        </w:rPr>
        <w:t>, lorsque deux conditions sont réunies :</w:t>
      </w:r>
    </w:p>
    <w:p w14:paraId="43938F21" w14:textId="77777777" w:rsidR="002B65BE" w:rsidRPr="00E32EF5" w:rsidRDefault="002B65BE" w:rsidP="002B65BE">
      <w:pPr>
        <w:pStyle w:val="CGPC-elearning"/>
        <w:rPr>
          <w:lang w:eastAsia="fr-FR"/>
        </w:rPr>
      </w:pPr>
      <w:r w:rsidRPr="00E32EF5">
        <w:rPr>
          <w:lang w:eastAsia="fr-FR"/>
        </w:rPr>
        <w:t>la société doit exercer une activité industrielle, artisanale, commerciale ou agricole. L’option n’est donc pas possible lorsqu’il s’agit d’une activité civile (location d’immeubles nus ou de meublés) ou libérale (laboratoire d’analyses) ;</w:t>
      </w:r>
    </w:p>
    <w:p w14:paraId="0EE6CBF1" w14:textId="77777777" w:rsidR="002B65BE" w:rsidRPr="00E32EF5" w:rsidRDefault="002B65BE" w:rsidP="002B65BE">
      <w:pPr>
        <w:pStyle w:val="CGPC-elearning"/>
        <w:rPr>
          <w:lang w:eastAsia="fr-FR"/>
        </w:rPr>
      </w:pPr>
      <w:r w:rsidRPr="00E32EF5">
        <w:rPr>
          <w:lang w:eastAsia="fr-FR"/>
        </w:rPr>
        <w:t>la société doit être formée exclusivement entre parents en ligne directe jusqu’au deuxième degré (ascendants, descendants), ainsi que leurs conjoints ou partenaires pacsés. Chacun des associés doit être uni aux autres par des liens de parenté directe ou collatérale, ou par le mariage, ou encore par un PACS.</w:t>
      </w:r>
    </w:p>
    <w:p w14:paraId="472AA60E" w14:textId="77777777" w:rsidR="002B65BE" w:rsidRPr="00E32EF5" w:rsidRDefault="002B65BE" w:rsidP="002B65BE">
      <w:pPr>
        <w:pStyle w:val="CGPC-elearning"/>
        <w:rPr>
          <w:lang w:eastAsia="fr-FR"/>
        </w:rPr>
      </w:pPr>
      <w:r w:rsidRPr="00E32EF5">
        <w:rPr>
          <w:b/>
          <w:bdr w:val="none" w:sz="0" w:space="0" w:color="auto" w:frame="1"/>
          <w:lang w:eastAsia="fr-FR"/>
        </w:rPr>
        <w:t>L’option s’exerce avec l’accord unanime de tous les associés</w:t>
      </w:r>
      <w:r w:rsidRPr="00E32EF5">
        <w:rPr>
          <w:lang w:eastAsia="fr-FR"/>
        </w:rPr>
        <w:t>. Ils se trouvent alors soumis à l’impôt sur les revenus au titre des BIC.</w:t>
      </w:r>
    </w:p>
    <w:p w14:paraId="4A314831" w14:textId="77777777" w:rsidR="002B65BE" w:rsidRPr="00E32EF5" w:rsidRDefault="002B65BE" w:rsidP="002B65BE">
      <w:pPr>
        <w:pStyle w:val="CGPC-elearning"/>
        <w:rPr>
          <w:lang w:eastAsia="fr-FR"/>
        </w:rPr>
      </w:pPr>
      <w:r w:rsidRPr="00E32EF5">
        <w:rPr>
          <w:lang w:eastAsia="fr-FR"/>
        </w:rPr>
        <w:t>Si l’option est exercée par une société existante, elle entraîne les mêmes conséquences que celles de la transformation d’une société de capitaux en société de personnes (notamment les réserves des exercices antérieurs sont imposées au nom des associés en tant que revenus distribués, les déficits antérieurs ne pouvant être reportés sur les bénéfices ultérieurs, ou sur les revenus des associés).</w:t>
      </w:r>
    </w:p>
    <w:p w14:paraId="5FAB6939" w14:textId="77777777" w:rsidR="002B65BE" w:rsidRPr="00E32EF5" w:rsidRDefault="002B65BE" w:rsidP="002B65BE">
      <w:pPr>
        <w:pStyle w:val="CGPC-elearning"/>
        <w:rPr>
          <w:lang w:eastAsia="fr-FR"/>
        </w:rPr>
      </w:pPr>
      <w:r w:rsidRPr="00E32EF5">
        <w:rPr>
          <w:lang w:eastAsia="fr-FR"/>
        </w:rPr>
        <w:t>En cas de décès ou de départ de l’un des associés, le régime des sociétés de personnes est maintenu uniquement si les parts sont reprises par un associé (existant ou entrant) ayant un degré de parenté compatible avec cette option.</w:t>
      </w:r>
    </w:p>
    <w:p w14:paraId="4DF09F5A" w14:textId="77777777" w:rsidR="002B65BE" w:rsidRPr="00E32EF5" w:rsidRDefault="002B65BE" w:rsidP="002B65BE">
      <w:pPr>
        <w:pStyle w:val="CGPC-elearning"/>
        <w:rPr>
          <w:lang w:eastAsia="fr-FR"/>
        </w:rPr>
      </w:pPr>
      <w:r w:rsidRPr="00E32EF5">
        <w:rPr>
          <w:lang w:eastAsia="fr-FR"/>
        </w:rPr>
        <w:t>Certaines </w:t>
      </w:r>
      <w:r w:rsidRPr="00E32EF5">
        <w:rPr>
          <w:b/>
          <w:bdr w:val="none" w:sz="0" w:space="0" w:color="auto" w:frame="1"/>
          <w:lang w:eastAsia="fr-FR"/>
        </w:rPr>
        <w:t>sociétés de capitaux (SA, SAS et SARL) peuvent opter pour le régime fiscal des sociétés de personnes </w:t>
      </w:r>
      <w:r w:rsidRPr="00E32EF5">
        <w:rPr>
          <w:lang w:eastAsia="fr-FR"/>
        </w:rPr>
        <w:t>pour une période de 5 exercices.</w:t>
      </w:r>
    </w:p>
    <w:p w14:paraId="231E0BE6" w14:textId="77777777" w:rsidR="002B65BE" w:rsidRPr="00E32EF5" w:rsidRDefault="002B65BE" w:rsidP="002B65BE">
      <w:pPr>
        <w:pStyle w:val="CGPC-elearning"/>
        <w:rPr>
          <w:lang w:eastAsia="fr-FR"/>
        </w:rPr>
      </w:pPr>
      <w:r w:rsidRPr="00E32EF5">
        <w:rPr>
          <w:lang w:eastAsia="fr-FR"/>
        </w:rPr>
        <w:t>Pour pouvoir exercer cette option, elles doivent :</w:t>
      </w:r>
    </w:p>
    <w:p w14:paraId="52BB45FA" w14:textId="77777777" w:rsidR="002B65BE" w:rsidRPr="00E32EF5" w:rsidRDefault="002B65BE" w:rsidP="002B65BE">
      <w:pPr>
        <w:pStyle w:val="CGPC-elearning"/>
        <w:rPr>
          <w:lang w:eastAsia="fr-FR"/>
        </w:rPr>
      </w:pPr>
      <w:r w:rsidRPr="00E32EF5">
        <w:rPr>
          <w:lang w:eastAsia="fr-FR"/>
        </w:rPr>
        <w:t>être créées depuis moins de 5 ans ;</w:t>
      </w:r>
    </w:p>
    <w:p w14:paraId="75787656" w14:textId="77777777" w:rsidR="002B65BE" w:rsidRPr="00E32EF5" w:rsidRDefault="002B65BE" w:rsidP="002B65BE">
      <w:pPr>
        <w:pStyle w:val="CGPC-elearning"/>
        <w:rPr>
          <w:lang w:eastAsia="fr-FR"/>
        </w:rPr>
      </w:pPr>
      <w:r w:rsidRPr="00E32EF5">
        <w:rPr>
          <w:lang w:eastAsia="fr-FR"/>
        </w:rPr>
        <w:t>ne pas être cotées ;</w:t>
      </w:r>
    </w:p>
    <w:p w14:paraId="2960BE60" w14:textId="77777777" w:rsidR="002B65BE" w:rsidRPr="00E32EF5" w:rsidRDefault="002B65BE" w:rsidP="002B65BE">
      <w:pPr>
        <w:pStyle w:val="CGPC-elearning"/>
        <w:rPr>
          <w:lang w:eastAsia="fr-FR"/>
        </w:rPr>
      </w:pPr>
      <w:r w:rsidRPr="00E32EF5">
        <w:rPr>
          <w:lang w:eastAsia="fr-FR"/>
        </w:rPr>
        <w:t>être détenues à hauteur de 50 % au moins par des personnes physiques, et à hauteur de 34 % au moins par des dirigeants ;</w:t>
      </w:r>
    </w:p>
    <w:p w14:paraId="7F742989" w14:textId="77777777" w:rsidR="002B65BE" w:rsidRPr="00E32EF5" w:rsidRDefault="002B65BE" w:rsidP="002B65BE">
      <w:pPr>
        <w:pStyle w:val="CGPC-elearning"/>
        <w:rPr>
          <w:lang w:eastAsia="fr-FR"/>
        </w:rPr>
      </w:pPr>
      <w:r w:rsidRPr="00E32EF5">
        <w:rPr>
          <w:lang w:eastAsia="fr-FR"/>
        </w:rPr>
        <w:t>exercer une activité industrielle, commerciale, artisanale, agricole ou libérale, à l’exclusion de la gestion de leur propre patrimoine ;</w:t>
      </w:r>
    </w:p>
    <w:p w14:paraId="266A639C" w14:textId="77777777" w:rsidR="002B65BE" w:rsidRPr="00E32EF5" w:rsidRDefault="002B65BE" w:rsidP="002B65BE">
      <w:pPr>
        <w:pStyle w:val="CGPC-elearning"/>
        <w:rPr>
          <w:lang w:eastAsia="fr-FR"/>
        </w:rPr>
      </w:pPr>
      <w:r w:rsidRPr="00E32EF5">
        <w:rPr>
          <w:lang w:eastAsia="fr-FR"/>
        </w:rPr>
        <w:t>répondre à la définition communautaire des très petites entreprises : effectif inférieur à 50 salariés, chiffre d’affaires annuel ou total de bilan inférieur à 10 millions d’euros.</w:t>
      </w:r>
    </w:p>
    <w:p w14:paraId="5A7C0E71" w14:textId="77777777" w:rsidR="002B65BE" w:rsidRPr="00E32EF5" w:rsidRDefault="002B65BE" w:rsidP="002B65BE">
      <w:pPr>
        <w:pStyle w:val="CGPC-elearning"/>
        <w:rPr>
          <w:lang w:eastAsia="fr-FR"/>
        </w:rPr>
      </w:pPr>
      <w:r w:rsidRPr="00E32EF5">
        <w:rPr>
          <w:lang w:eastAsia="fr-FR"/>
        </w:rPr>
        <w:lastRenderedPageBreak/>
        <w:t>À noter que si le seuil de 50 salariés est atteint ou dépassé au cours d’un exercice clos entre le 31 décembre 2015 et le 31 décembre 2018, la société peut continuer de bénéficier du régime fiscal des sociétés de personnes, pour cet exercice et pour les deux suivants, dans la limite de la période restant à courir (durée de l’option de 5 exercices maximum).</w:t>
      </w:r>
    </w:p>
    <w:p w14:paraId="6442FCC9" w14:textId="77777777" w:rsidR="002B65BE" w:rsidRPr="00E32EF5" w:rsidRDefault="002B65BE" w:rsidP="002B65BE">
      <w:pPr>
        <w:pStyle w:val="CGPC-elearning"/>
        <w:rPr>
          <w:lang w:eastAsia="fr-FR"/>
        </w:rPr>
      </w:pPr>
      <w:r w:rsidRPr="00E32EF5">
        <w:rPr>
          <w:lang w:eastAsia="fr-FR"/>
        </w:rPr>
        <w:t>L’option s’exerce avec </w:t>
      </w:r>
      <w:r w:rsidRPr="00E32EF5">
        <w:rPr>
          <w:b/>
          <w:bdr w:val="none" w:sz="0" w:space="0" w:color="auto" w:frame="1"/>
          <w:lang w:eastAsia="fr-FR"/>
        </w:rPr>
        <w:t>l’accord unanime de tous les associés</w:t>
      </w:r>
      <w:r w:rsidRPr="00E32EF5">
        <w:rPr>
          <w:lang w:eastAsia="fr-FR"/>
        </w:rPr>
        <w:t>.</w:t>
      </w:r>
    </w:p>
    <w:p w14:paraId="78E88EE5" w14:textId="276AB25E" w:rsidR="0036482C" w:rsidRDefault="002B65BE" w:rsidP="002B65BE">
      <w:pPr>
        <w:pStyle w:val="CGPC-elearning"/>
        <w:rPr>
          <w:lang w:eastAsia="fr-FR"/>
        </w:rPr>
      </w:pPr>
      <w:r w:rsidRPr="00E32EF5">
        <w:rPr>
          <w:lang w:eastAsia="fr-FR"/>
        </w:rPr>
        <w:t>Cette disposition est applicable aux exercices ouverts à compter du 6 août 2008 (loi de modernisation de l’économie – LME – du 4 août 2008).</w:t>
      </w:r>
    </w:p>
    <w:p w14:paraId="43498C47" w14:textId="77777777" w:rsidR="0036482C" w:rsidRDefault="0036482C" w:rsidP="0036482C">
      <w:pPr>
        <w:pStyle w:val="CGPC-elearning"/>
        <w:rPr>
          <w:lang w:eastAsia="fr-FR"/>
        </w:rPr>
      </w:pPr>
      <w:r>
        <w:rPr>
          <w:lang w:eastAsia="fr-FR"/>
        </w:rPr>
        <w:br w:type="page"/>
      </w:r>
    </w:p>
    <w:p w14:paraId="31EE6BA1" w14:textId="75A7DDCF" w:rsidR="00C6408A" w:rsidRDefault="00C6408A" w:rsidP="00C6408A">
      <w:bookmarkStart w:id="2" w:name="_Toc158208025"/>
      <w:r>
        <w:rPr>
          <w:noProof/>
          <w14:ligatures w14:val="standardContextual"/>
        </w:rPr>
        <w:lastRenderedPageBreak/>
        <mc:AlternateContent>
          <mc:Choice Requires="wps">
            <w:drawing>
              <wp:anchor distT="0" distB="0" distL="114300" distR="114300" simplePos="0" relativeHeight="251664384" behindDoc="1" locked="0" layoutInCell="1" allowOverlap="1" wp14:anchorId="43F53ED1" wp14:editId="548C1D4D">
                <wp:simplePos x="0" y="0"/>
                <wp:positionH relativeFrom="column">
                  <wp:posOffset>-914400</wp:posOffset>
                </wp:positionH>
                <wp:positionV relativeFrom="paragraph">
                  <wp:posOffset>-204479</wp:posOffset>
                </wp:positionV>
                <wp:extent cx="15326436" cy="8761862"/>
                <wp:effectExtent l="0" t="0" r="27940" b="20320"/>
                <wp:wrapNone/>
                <wp:docPr id="1363067100" name="Rectangle 6"/>
                <wp:cNvGraphicFramePr/>
                <a:graphic xmlns:a="http://schemas.openxmlformats.org/drawingml/2006/main">
                  <a:graphicData uri="http://schemas.microsoft.com/office/word/2010/wordprocessingShape">
                    <wps:wsp>
                      <wps:cNvSpPr/>
                      <wps:spPr>
                        <a:xfrm>
                          <a:off x="0" y="0"/>
                          <a:ext cx="15326436" cy="8761862"/>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0CF705" id="Rectangle 6" o:spid="_x0000_s1026" style="position:absolute;margin-left:-1in;margin-top:-16.1pt;width:1206.8pt;height:689.9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" fillcolor="#4472c4 [3204]" strokecolor="#09101d [484]" strokeweight="1pt"/>
            </w:pict>
          </mc:Fallback>
        </mc:AlternateContent>
      </w:r>
    </w:p>
    <w:p w14:paraId="01F50747" w14:textId="77777777" w:rsidR="00C6408A" w:rsidRDefault="00C6408A" w:rsidP="00C6408A"/>
    <w:p w14:paraId="1425AA6E" w14:textId="77777777" w:rsidR="00C6408A" w:rsidRDefault="00C6408A" w:rsidP="00C6408A"/>
    <w:p w14:paraId="4207ED5D" w14:textId="77777777" w:rsidR="00C6408A" w:rsidRDefault="00C6408A" w:rsidP="00C6408A"/>
    <w:p w14:paraId="752F6B8A" w14:textId="77777777" w:rsidR="00C6408A" w:rsidRDefault="00C6408A" w:rsidP="00C6408A"/>
    <w:p w14:paraId="506F41E3" w14:textId="77777777" w:rsidR="00C6408A" w:rsidRDefault="00C6408A" w:rsidP="00C6408A"/>
    <w:p w14:paraId="39675123" w14:textId="77777777" w:rsidR="00C6408A" w:rsidRDefault="00C6408A" w:rsidP="00C6408A"/>
    <w:p w14:paraId="68BD43EB" w14:textId="77777777" w:rsidR="00C6408A" w:rsidRDefault="00C6408A" w:rsidP="00C6408A"/>
    <w:p w14:paraId="164C2150" w14:textId="77777777" w:rsidR="00C6408A" w:rsidRDefault="00C6408A" w:rsidP="00C6408A"/>
    <w:p w14:paraId="137AB6F6" w14:textId="3FE38402" w:rsidR="00C6408A" w:rsidRPr="00C6408A" w:rsidRDefault="0036482C" w:rsidP="00C6408A">
      <w:pPr>
        <w:pStyle w:val="Titre1"/>
      </w:pPr>
      <w:r w:rsidRPr="00C6408A">
        <w:t>Impôt sur les sociétés</w:t>
      </w:r>
      <w:bookmarkEnd w:id="2"/>
    </w:p>
    <w:p w14:paraId="5E1FC1C9" w14:textId="77777777" w:rsidR="00C6408A" w:rsidRDefault="00C6408A" w:rsidP="00C6408A">
      <w:pPr>
        <w:pStyle w:val="CGPC-elearning"/>
        <w:rPr>
          <w:color w:val="3A5D9C"/>
          <w:sz w:val="52"/>
          <w:szCs w:val="26"/>
          <w:bdr w:val="none" w:sz="0" w:space="0" w:color="auto" w:frame="1"/>
          <w:lang w:eastAsia="fr-FR"/>
        </w:rPr>
      </w:pPr>
      <w:r>
        <w:rPr>
          <w:lang w:eastAsia="fr-FR"/>
        </w:rPr>
        <w:br w:type="page"/>
      </w:r>
    </w:p>
    <w:p w14:paraId="65C9AF11" w14:textId="2B2E61CC" w:rsidR="002B65BE" w:rsidRPr="00E32EF5" w:rsidRDefault="0036482C" w:rsidP="00C6408A">
      <w:pPr>
        <w:pStyle w:val="Titre2"/>
      </w:pPr>
      <w:bookmarkStart w:id="3" w:name="_Toc158208026"/>
      <w:r w:rsidRPr="00E32EF5">
        <w:lastRenderedPageBreak/>
        <w:t>Taux normal de l’impôt sur les sociétés</w:t>
      </w:r>
      <w:bookmarkEnd w:id="3"/>
    </w:p>
    <w:p w14:paraId="06BB38DF" w14:textId="77777777" w:rsidR="0036482C" w:rsidRDefault="0036482C" w:rsidP="002B65BE">
      <w:pPr>
        <w:pStyle w:val="CGPC-elearning"/>
        <w:rPr>
          <w:lang w:eastAsia="fr-FR"/>
        </w:rPr>
      </w:pPr>
    </w:p>
    <w:p w14:paraId="054E05C2" w14:textId="51DF8341" w:rsidR="002B65BE" w:rsidRPr="00E32EF5" w:rsidRDefault="002B65BE" w:rsidP="002B65BE">
      <w:pPr>
        <w:pStyle w:val="CGPC-elearning"/>
        <w:rPr>
          <w:lang w:eastAsia="fr-FR"/>
        </w:rPr>
      </w:pPr>
      <w:r w:rsidRPr="00E32EF5">
        <w:rPr>
          <w:lang w:eastAsia="fr-FR"/>
        </w:rPr>
        <w:t>Le taux normal de l’impôt sur les sociétés, en l’absence de dispositions particulières, est fixé conformément à l’article 219-I du CGI.</w:t>
      </w:r>
    </w:p>
    <w:p w14:paraId="29A3566E" w14:textId="1BD73C69" w:rsidR="002B65BE" w:rsidRPr="00E32EF5" w:rsidRDefault="002B65BE" w:rsidP="002B65BE">
      <w:pPr>
        <w:pStyle w:val="CGPC-elearning"/>
        <w:rPr>
          <w:lang w:eastAsia="fr-FR"/>
        </w:rPr>
      </w:pPr>
      <w:r w:rsidRPr="00E32EF5">
        <w:rPr>
          <w:lang w:eastAsia="fr-FR"/>
        </w:rPr>
        <w:t xml:space="preserve">Le taux normal de l’impôt sur les sociétés </w:t>
      </w:r>
      <w:r>
        <w:rPr>
          <w:lang w:eastAsia="fr-FR"/>
        </w:rPr>
        <w:t>a été</w:t>
      </w:r>
      <w:r w:rsidRPr="00E32EF5">
        <w:rPr>
          <w:lang w:eastAsia="fr-FR"/>
        </w:rPr>
        <w:t xml:space="preserve"> progressivement abaissé</w:t>
      </w:r>
      <w:r w:rsidR="003A3F2A">
        <w:rPr>
          <w:lang w:eastAsia="fr-FR"/>
        </w:rPr>
        <w:t xml:space="preserve"> à 25%</w:t>
      </w:r>
      <w:r w:rsidRPr="00E32EF5">
        <w:rPr>
          <w:lang w:eastAsia="fr-FR"/>
        </w:rPr>
        <w:t xml:space="preserve"> à compter des exercices </w:t>
      </w:r>
      <w:r>
        <w:rPr>
          <w:lang w:eastAsia="fr-FR"/>
        </w:rPr>
        <w:t>du 1</w:t>
      </w:r>
      <w:r w:rsidRPr="00107032">
        <w:rPr>
          <w:vertAlign w:val="superscript"/>
          <w:lang w:eastAsia="fr-FR"/>
        </w:rPr>
        <w:t>er</w:t>
      </w:r>
      <w:r>
        <w:rPr>
          <w:lang w:eastAsia="fr-FR"/>
        </w:rPr>
        <w:t xml:space="preserve"> janvier 2022</w:t>
      </w:r>
    </w:p>
    <w:p w14:paraId="7A377B25" w14:textId="77777777" w:rsidR="002B65BE" w:rsidRPr="00E32EF5" w:rsidRDefault="002B65BE" w:rsidP="002B65BE">
      <w:pPr>
        <w:pStyle w:val="CGPC-elearning"/>
        <w:rPr>
          <w:lang w:eastAsia="fr-FR"/>
        </w:rPr>
      </w:pPr>
      <w:r w:rsidRPr="00E32EF5">
        <w:rPr>
          <w:lang w:eastAsia="fr-FR"/>
        </w:rPr>
        <w:t>L’impôt sur les sociétés dû au taux normal est calculé en appliquant ce taux au bénéfice imposable arrondi à l’euro le plus proche sans abattement à la base, ni décote pour les faibles impositions.</w:t>
      </w:r>
    </w:p>
    <w:p w14:paraId="3D7C3BB1" w14:textId="77777777" w:rsidR="002B65BE" w:rsidRPr="00E32EF5" w:rsidRDefault="002B65BE" w:rsidP="002B65BE">
      <w:pPr>
        <w:pStyle w:val="CGPC-elearning"/>
        <w:rPr>
          <w:lang w:eastAsia="fr-FR"/>
        </w:rPr>
      </w:pPr>
      <w:r w:rsidRPr="00E32EF5">
        <w:rPr>
          <w:lang w:eastAsia="fr-FR"/>
        </w:rPr>
        <w:t>Les sociétés peuvent être redevables d’autres contributions :</w:t>
      </w:r>
    </w:p>
    <w:p w14:paraId="55A213C3" w14:textId="6F9E9CB2" w:rsidR="002B65BE" w:rsidRPr="00223CBA" w:rsidRDefault="002B65BE" w:rsidP="002B65BE">
      <w:pPr>
        <w:pStyle w:val="CGPC-elearning"/>
        <w:rPr>
          <w:lang w:eastAsia="fr-FR"/>
        </w:rPr>
      </w:pPr>
      <w:r w:rsidRPr="00E32EF5">
        <w:rPr>
          <w:lang w:eastAsia="fr-FR"/>
        </w:rPr>
        <w:t>la contribution sociale qui représente 3,3 % de l’IS dû pour les entreprises réalisant un chiffre d’affaires d’au moins 7,63 millions d’€ et dont l’IS dépasse 763 000 € ;</w:t>
      </w:r>
    </w:p>
    <w:p w14:paraId="4D90A9C6" w14:textId="65111C2E" w:rsidR="002B65BE" w:rsidRPr="00223CBA" w:rsidRDefault="002B65BE" w:rsidP="002B65BE">
      <w:pPr>
        <w:pStyle w:val="CGPC-elearning"/>
        <w:rPr>
          <w:rFonts w:ascii="Arial"/>
          <w:b/>
          <w:sz w:val="4"/>
        </w:rPr>
      </w:pPr>
      <w:r w:rsidRPr="00960147">
        <w:t>le taux de l’IS est réduit à 15% jusqu’à 42500 € de bénéfice pour les sociétés dont le chiffre d’affaires n’excèdent pas 10 millions d’euros de chiffre d’affaires et détenu pour 75% au moins par des personnes physiques de façon directe ou indirecte</w:t>
      </w:r>
    </w:p>
    <w:p w14:paraId="41CDEBD1" w14:textId="1D323DEC" w:rsidR="002B65BE" w:rsidRPr="00E32EF5" w:rsidRDefault="0036482C" w:rsidP="00C6408A">
      <w:pPr>
        <w:pStyle w:val="Titre2"/>
      </w:pPr>
      <w:bookmarkStart w:id="4" w:name="_Toc158208027"/>
      <w:r w:rsidRPr="00E32EF5">
        <w:t>Régime d’imposition des plus ou moins-values à long terme</w:t>
      </w:r>
      <w:bookmarkEnd w:id="4"/>
    </w:p>
    <w:p w14:paraId="28A80BF5" w14:textId="77777777" w:rsidR="0036482C" w:rsidRDefault="0036482C" w:rsidP="002B65BE">
      <w:pPr>
        <w:pStyle w:val="CGPC-elearning"/>
        <w:rPr>
          <w:lang w:eastAsia="fr-FR"/>
        </w:rPr>
      </w:pPr>
    </w:p>
    <w:p w14:paraId="13DC976E" w14:textId="2B7E55A3" w:rsidR="002B65BE" w:rsidRPr="00E32EF5" w:rsidRDefault="002B65BE" w:rsidP="002B65BE">
      <w:pPr>
        <w:pStyle w:val="CGPC-elearning"/>
        <w:rPr>
          <w:lang w:eastAsia="fr-FR"/>
        </w:rPr>
      </w:pPr>
      <w:r w:rsidRPr="00E32EF5">
        <w:rPr>
          <w:lang w:eastAsia="fr-FR"/>
        </w:rPr>
        <w:t>Certaines cessions d’éléments d’actif peuvent relever du régime d’imposition des plus ou moins-values à long terme.</w:t>
      </w:r>
    </w:p>
    <w:p w14:paraId="10AA1D06" w14:textId="77777777" w:rsidR="002B65BE" w:rsidRPr="00E32EF5" w:rsidRDefault="002B65BE" w:rsidP="002B65BE">
      <w:pPr>
        <w:pStyle w:val="CGPC-elearning"/>
        <w:rPr>
          <w:lang w:eastAsia="fr-FR"/>
        </w:rPr>
      </w:pPr>
      <w:r w:rsidRPr="00E32EF5">
        <w:rPr>
          <w:lang w:eastAsia="fr-FR"/>
        </w:rPr>
        <w:t>Ce régime d’imposition s’applique notamment :</w:t>
      </w:r>
    </w:p>
    <w:p w14:paraId="69281C49" w14:textId="77777777" w:rsidR="002B65BE" w:rsidRPr="00E32EF5" w:rsidRDefault="002B65BE" w:rsidP="002B65BE">
      <w:pPr>
        <w:pStyle w:val="CGPC-elearning"/>
        <w:rPr>
          <w:lang w:eastAsia="fr-FR"/>
        </w:rPr>
      </w:pPr>
      <w:r w:rsidRPr="00E32EF5">
        <w:rPr>
          <w:lang w:eastAsia="fr-FR"/>
        </w:rPr>
        <w:t>aux cessions de brevets et éléments assimilés, sous conditions ;</w:t>
      </w:r>
    </w:p>
    <w:p w14:paraId="42D203B2" w14:textId="5A0D3581" w:rsidR="002B65BE" w:rsidRPr="00E32EF5" w:rsidRDefault="002B65BE" w:rsidP="002B65BE">
      <w:pPr>
        <w:pStyle w:val="CGPC-elearning"/>
        <w:rPr>
          <w:lang w:eastAsia="fr-FR"/>
        </w:rPr>
      </w:pPr>
      <w:r w:rsidRPr="00E32EF5">
        <w:rPr>
          <w:lang w:eastAsia="fr-FR"/>
        </w:rPr>
        <w:t>aux cessions de titres de participations ainsi que de parts ou actions de certains fonds communs de placement à risques (FCPR) remplissant certaines conditions et  actions de sociétés de capital-risque (SCR) lorsque ces parts ou actions sont détenues depuis au moins cinq ans ;</w:t>
      </w:r>
    </w:p>
    <w:p w14:paraId="0DE4A214" w14:textId="77777777" w:rsidR="002B65BE" w:rsidRPr="00E32EF5" w:rsidRDefault="002B65BE" w:rsidP="002B65BE">
      <w:pPr>
        <w:pStyle w:val="CGPC-elearning"/>
        <w:rPr>
          <w:lang w:eastAsia="fr-FR"/>
        </w:rPr>
      </w:pPr>
      <w:r w:rsidRPr="00E32EF5">
        <w:rPr>
          <w:lang w:eastAsia="fr-FR"/>
        </w:rPr>
        <w:t>aux cessions de titres de sociétés à prépondérance immobilière (SPI) cotées imposables à l’impôt sur les sociétés ;</w:t>
      </w:r>
    </w:p>
    <w:p w14:paraId="172A87A6" w14:textId="77777777" w:rsidR="002B65BE" w:rsidRPr="00E32EF5" w:rsidRDefault="002B65BE" w:rsidP="002B65BE">
      <w:pPr>
        <w:pStyle w:val="CGPC-elearning"/>
        <w:rPr>
          <w:lang w:eastAsia="fr-FR"/>
        </w:rPr>
      </w:pPr>
      <w:r w:rsidRPr="00E32EF5">
        <w:rPr>
          <w:lang w:eastAsia="fr-FR"/>
        </w:rPr>
        <w:t>au résultat net des concessions de licences d’exploitation de brevets, d’inventions brevetables ou de procédés de fabrication.</w:t>
      </w:r>
    </w:p>
    <w:p w14:paraId="104B1D87" w14:textId="77777777" w:rsidR="002B65BE" w:rsidRPr="00E32EF5" w:rsidRDefault="002B65BE" w:rsidP="002B65BE">
      <w:pPr>
        <w:pStyle w:val="CGPC-elearning"/>
        <w:rPr>
          <w:b/>
        </w:rPr>
      </w:pPr>
      <w:r w:rsidRPr="00E32EF5">
        <w:rPr>
          <w:b/>
        </w:rPr>
        <w:t>TAUX D’IMPOSITION SPÉCIFIQUES</w:t>
      </w:r>
    </w:p>
    <w:p w14:paraId="2CB872BA" w14:textId="77777777" w:rsidR="002B65BE" w:rsidRPr="00E32EF5" w:rsidRDefault="002B65BE" w:rsidP="002B65BE">
      <w:pPr>
        <w:pStyle w:val="CGPC-elearning"/>
        <w:rPr>
          <w:lang w:eastAsia="fr-FR"/>
        </w:rPr>
      </w:pPr>
      <w:r w:rsidRPr="00E32EF5">
        <w:rPr>
          <w:lang w:eastAsia="fr-FR"/>
        </w:rPr>
        <w:lastRenderedPageBreak/>
        <w:t>les plus-values à long terme afférentes à la cession de titres de participation détenus depuis au moins 2 ans, autres que les titres de sociétés à prépondérance immobilière  (SPI), ainsi que, sous certaines conditions, les produits et plus-values provenant de la détention de FCPR ou SCR sont imposables au taux de 0 % (pour les exercices ouverts à compter du 1er janvier 2007). Une quote-part représentative de frais et charges égale à 12 % du montant brut des plus-values de cession est réintégrée au résultat fiscal ;</w:t>
      </w:r>
    </w:p>
    <w:p w14:paraId="3B160344" w14:textId="77777777" w:rsidR="002B65BE" w:rsidRPr="00E32EF5" w:rsidRDefault="002B65BE" w:rsidP="002B65BE">
      <w:pPr>
        <w:pStyle w:val="CGPC-elearning"/>
        <w:rPr>
          <w:lang w:eastAsia="fr-FR"/>
        </w:rPr>
      </w:pPr>
      <w:r w:rsidRPr="00E32EF5">
        <w:rPr>
          <w:lang w:eastAsia="fr-FR"/>
        </w:rPr>
        <w:t>les plus-values de cession de titres de SPI sont imposées au taux de 19 % ;</w:t>
      </w:r>
    </w:p>
    <w:p w14:paraId="56881C4C" w14:textId="77777777" w:rsidR="002B65BE" w:rsidRPr="00E32EF5" w:rsidRDefault="002B65BE" w:rsidP="002B65BE">
      <w:pPr>
        <w:pStyle w:val="CGPC-elearning"/>
        <w:rPr>
          <w:lang w:eastAsia="fr-FR"/>
        </w:rPr>
      </w:pPr>
      <w:r w:rsidRPr="00E32EF5">
        <w:rPr>
          <w:lang w:eastAsia="fr-FR"/>
        </w:rPr>
        <w:t>les autres plus-values à long terme restent imposables au taux de 15 % ;</w:t>
      </w:r>
    </w:p>
    <w:p w14:paraId="3EB26C39" w14:textId="77777777" w:rsidR="002B65BE" w:rsidRPr="00E32EF5" w:rsidRDefault="002B65BE" w:rsidP="002B65BE">
      <w:pPr>
        <w:pStyle w:val="CGPC-elearning"/>
        <w:rPr>
          <w:lang w:eastAsia="fr-FR"/>
        </w:rPr>
      </w:pPr>
      <w:r w:rsidRPr="00E32EF5">
        <w:rPr>
          <w:lang w:eastAsia="fr-FR"/>
        </w:rPr>
        <w:t>le résultat net de la concession de droits de la propriété industrielle est également imposable au taux de 15 %.</w:t>
      </w:r>
    </w:p>
    <w:p w14:paraId="5DEE8DAA" w14:textId="77777777" w:rsidR="002B65BE" w:rsidRPr="00E32EF5" w:rsidRDefault="002B65BE" w:rsidP="002B65BE">
      <w:pPr>
        <w:pStyle w:val="CGPC-elearning"/>
        <w:rPr>
          <w:lang w:eastAsia="fr-FR"/>
        </w:rPr>
      </w:pPr>
      <w:r w:rsidRPr="00E32EF5">
        <w:rPr>
          <w:lang w:eastAsia="fr-FR"/>
        </w:rPr>
        <w:t>Les cessions de parts sociales de sociétés à prépondérance immobilière sont taxées au droit d’enregistrement de 5 % pour le cessionnaire.</w:t>
      </w:r>
    </w:p>
    <w:p w14:paraId="23BD8D20" w14:textId="77777777" w:rsidR="002B65BE" w:rsidRPr="00E32EF5" w:rsidRDefault="002B65BE" w:rsidP="002B65BE">
      <w:pPr>
        <w:spacing w:after="0" w:line="600" w:lineRule="atLeast"/>
        <w:textAlignment w:val="baseline"/>
        <w:outlineLvl w:val="1"/>
        <w:rPr>
          <w:rFonts w:eastAsia="Times New Roman" w:cs="Open Sans"/>
          <w:b/>
          <w:bCs/>
          <w:caps/>
          <w:color w:val="333333"/>
          <w:sz w:val="39"/>
          <w:szCs w:val="39"/>
          <w:lang w:eastAsia="fr-FR"/>
        </w:rPr>
      </w:pPr>
      <w:r w:rsidRPr="00E32EF5">
        <w:rPr>
          <w:rFonts w:eastAsia="Times New Roman" w:cs="Open Sans"/>
          <w:b/>
          <w:bCs/>
          <w:caps/>
          <w:color w:val="333333"/>
          <w:sz w:val="39"/>
          <w:szCs w:val="39"/>
          <w:lang w:eastAsia="fr-FR"/>
        </w:rPr>
        <w:t> </w:t>
      </w:r>
    </w:p>
    <w:p w14:paraId="3D88CB3D" w14:textId="1CE39FCA" w:rsidR="002B65BE" w:rsidRPr="0036482C" w:rsidRDefault="0036482C" w:rsidP="00C6408A">
      <w:pPr>
        <w:pStyle w:val="Titre2"/>
        <w:rPr>
          <w:rFonts w:eastAsia="Times New Roman"/>
          <w:lang w:eastAsia="fr-FR"/>
        </w:rPr>
      </w:pPr>
      <w:bookmarkStart w:id="5" w:name="_Toc158208028"/>
      <w:r w:rsidRPr="00E32EF5">
        <w:rPr>
          <w:rFonts w:eastAsia="Times New Roman"/>
          <w:lang w:eastAsia="fr-FR"/>
        </w:rPr>
        <w:t>Les modes d’imposition des entreprises</w:t>
      </w:r>
      <w:bookmarkEnd w:id="5"/>
    </w:p>
    <w:p w14:paraId="43E9B402" w14:textId="2548D0D5" w:rsidR="002B65BE" w:rsidRPr="00E32EF5" w:rsidRDefault="002B65BE" w:rsidP="00C6408A">
      <w:pPr>
        <w:pStyle w:val="Titre3"/>
        <w:numPr>
          <w:ilvl w:val="0"/>
          <w:numId w:val="39"/>
        </w:numPr>
      </w:pPr>
      <w:bookmarkStart w:id="6" w:name="_Toc158208029"/>
      <w:r w:rsidRPr="00E32EF5">
        <w:t>L</w:t>
      </w:r>
      <w:r w:rsidR="0036482C" w:rsidRPr="00E32EF5">
        <w:t>e régime micro-</w:t>
      </w:r>
      <w:proofErr w:type="spellStart"/>
      <w:r w:rsidR="0036482C" w:rsidRPr="00E32EF5">
        <w:t>bic</w:t>
      </w:r>
      <w:bookmarkEnd w:id="6"/>
      <w:proofErr w:type="spellEnd"/>
    </w:p>
    <w:p w14:paraId="77AB8A30" w14:textId="77777777" w:rsidR="002B65BE" w:rsidRPr="0036482C" w:rsidRDefault="002B65BE" w:rsidP="0036482C">
      <w:r w:rsidRPr="0036482C">
        <w:t> </w:t>
      </w:r>
    </w:p>
    <w:p w14:paraId="0AE14EFF" w14:textId="77777777" w:rsidR="002B65BE" w:rsidRPr="00E32EF5" w:rsidRDefault="002B65BE" w:rsidP="00281D43">
      <w:pPr>
        <w:pStyle w:val="Titre4"/>
        <w:rPr>
          <w:rFonts w:eastAsia="Times New Roman"/>
          <w:lang w:eastAsia="fr-FR"/>
        </w:rPr>
      </w:pPr>
      <w:r w:rsidRPr="00E32EF5">
        <w:rPr>
          <w:rFonts w:eastAsia="Times New Roman"/>
          <w:lang w:eastAsia="fr-FR"/>
        </w:rPr>
        <w:t>Présentation</w:t>
      </w:r>
    </w:p>
    <w:p w14:paraId="00A05459" w14:textId="77777777" w:rsidR="002B65BE" w:rsidRPr="00E32EF5" w:rsidRDefault="002B65BE" w:rsidP="002B65BE">
      <w:pPr>
        <w:pStyle w:val="CGPC-elearning"/>
        <w:rPr>
          <w:lang w:eastAsia="fr-FR"/>
        </w:rPr>
      </w:pPr>
      <w:r w:rsidRPr="00E32EF5">
        <w:rPr>
          <w:lang w:eastAsia="fr-FR"/>
        </w:rPr>
        <w:t>Les </w:t>
      </w:r>
      <w:r w:rsidRPr="00E32EF5">
        <w:rPr>
          <w:b/>
          <w:bdr w:val="none" w:sz="0" w:space="0" w:color="auto" w:frame="1"/>
          <w:lang w:eastAsia="fr-FR"/>
        </w:rPr>
        <w:t>entreprises industrielles, artisanales ou commerciales soumises à l’IR</w:t>
      </w:r>
      <w:r w:rsidRPr="00E32EF5">
        <w:rPr>
          <w:lang w:eastAsia="fr-FR"/>
        </w:rPr>
        <w:t> dans la catégorie des BIC sont imposées d’après </w:t>
      </w:r>
      <w:r w:rsidRPr="00E32EF5">
        <w:rPr>
          <w:b/>
          <w:bdr w:val="none" w:sz="0" w:space="0" w:color="auto" w:frame="1"/>
          <w:lang w:eastAsia="fr-FR"/>
        </w:rPr>
        <w:t>leur bénéfice réel </w:t>
      </w:r>
      <w:r w:rsidRPr="00E32EF5">
        <w:rPr>
          <w:lang w:eastAsia="fr-FR"/>
        </w:rPr>
        <w:t>(régime du réel normal ou du simplifié), ou d’après un bénéfice déterminé forfaitairement (régime micro-BIC).</w:t>
      </w:r>
    </w:p>
    <w:p w14:paraId="21D0874B" w14:textId="77777777" w:rsidR="002B65BE" w:rsidRPr="007A725D" w:rsidRDefault="002B65BE" w:rsidP="002B65BE">
      <w:pPr>
        <w:pStyle w:val="CGPC-elearning"/>
        <w:rPr>
          <w:lang w:eastAsia="fr-FR"/>
        </w:rPr>
      </w:pPr>
      <w:r w:rsidRPr="00E32EF5">
        <w:rPr>
          <w:b/>
          <w:bdr w:val="none" w:sz="0" w:space="0" w:color="auto" w:frame="1"/>
          <w:lang w:eastAsia="fr-FR"/>
        </w:rPr>
        <w:t>Les entreprises soumises à l’IS </w:t>
      </w:r>
      <w:r w:rsidRPr="00E32EF5">
        <w:rPr>
          <w:lang w:eastAsia="fr-FR"/>
        </w:rPr>
        <w:t>sont obligatoirement imposées d’après leur bénéfice réel (régime du réel normal ou du simplifié).</w:t>
      </w:r>
    </w:p>
    <w:p w14:paraId="57E2FB1F" w14:textId="77777777" w:rsidR="002B65BE" w:rsidRPr="00E32EF5" w:rsidRDefault="002B65BE" w:rsidP="00281D43">
      <w:pPr>
        <w:pStyle w:val="Titre4"/>
        <w:rPr>
          <w:rFonts w:eastAsia="Times New Roman"/>
          <w:lang w:eastAsia="fr-FR"/>
        </w:rPr>
      </w:pPr>
      <w:r w:rsidRPr="00E32EF5">
        <w:rPr>
          <w:rFonts w:eastAsia="Times New Roman"/>
          <w:lang w:eastAsia="fr-FR"/>
        </w:rPr>
        <w:t>Application du régime micro-BIC</w:t>
      </w:r>
    </w:p>
    <w:p w14:paraId="6670B31D" w14:textId="77777777" w:rsidR="002B65BE" w:rsidRPr="00E32EF5" w:rsidRDefault="002B65BE" w:rsidP="002B65BE">
      <w:pPr>
        <w:pStyle w:val="CGPC-elearning"/>
        <w:rPr>
          <w:lang w:eastAsia="fr-FR"/>
        </w:rPr>
      </w:pPr>
      <w:r w:rsidRPr="00E32EF5">
        <w:rPr>
          <w:lang w:eastAsia="fr-FR"/>
        </w:rPr>
        <w:t>Les entreprises soumises à l’IS sont obligatoirement imposées d’après leur bénéfice réel (régime du réel normal ou du simplifié).</w:t>
      </w:r>
    </w:p>
    <w:p w14:paraId="0C943AE0" w14:textId="77777777" w:rsidR="002B65BE" w:rsidRPr="00E32EF5" w:rsidRDefault="002B65BE" w:rsidP="002B65BE">
      <w:pPr>
        <w:pStyle w:val="CGPC-elearning"/>
        <w:rPr>
          <w:lang w:eastAsia="fr-FR"/>
        </w:rPr>
      </w:pPr>
      <w:r w:rsidRPr="00E32EF5">
        <w:rPr>
          <w:lang w:eastAsia="fr-FR"/>
        </w:rPr>
        <w:t>Le régime micro-BIC s’applique aux entreprises dont le chiffre d’affaires HT de l’année civile précédent (ou qui le dépasse pour la première fois au cours des deux dernières années) n’excède pas</w:t>
      </w:r>
      <w:r>
        <w:rPr>
          <w:lang w:eastAsia="fr-FR"/>
        </w:rPr>
        <w:t xml:space="preserve"> pour les revenus de 2022 </w:t>
      </w:r>
      <w:r w:rsidRPr="00E32EF5">
        <w:rPr>
          <w:lang w:eastAsia="fr-FR"/>
        </w:rPr>
        <w:t>:</w:t>
      </w:r>
    </w:p>
    <w:p w14:paraId="2DA366F6" w14:textId="45836AA9" w:rsidR="002B65BE" w:rsidRPr="00E32EF5" w:rsidRDefault="002B65BE" w:rsidP="002B65BE">
      <w:pPr>
        <w:pStyle w:val="CGPC-elearning"/>
        <w:rPr>
          <w:lang w:eastAsia="fr-FR"/>
        </w:rPr>
      </w:pPr>
      <w:r w:rsidRPr="00E32EF5">
        <w:rPr>
          <w:b/>
          <w:bdr w:val="none" w:sz="0" w:space="0" w:color="auto" w:frame="1"/>
          <w:lang w:eastAsia="fr-FR"/>
        </w:rPr>
        <w:lastRenderedPageBreak/>
        <w:t>1</w:t>
      </w:r>
      <w:r w:rsidR="0015633A">
        <w:rPr>
          <w:b/>
          <w:bdr w:val="none" w:sz="0" w:space="0" w:color="auto" w:frame="1"/>
          <w:lang w:eastAsia="fr-FR"/>
        </w:rPr>
        <w:t>88</w:t>
      </w:r>
      <w:r w:rsidRPr="00E32EF5">
        <w:rPr>
          <w:b/>
          <w:bdr w:val="none" w:sz="0" w:space="0" w:color="auto" w:frame="1"/>
          <w:lang w:eastAsia="fr-FR"/>
        </w:rPr>
        <w:t xml:space="preserve"> </w:t>
      </w:r>
      <w:r w:rsidR="009D2B22">
        <w:rPr>
          <w:b/>
          <w:bdr w:val="none" w:sz="0" w:space="0" w:color="auto" w:frame="1"/>
          <w:lang w:eastAsia="fr-FR"/>
        </w:rPr>
        <w:t>7</w:t>
      </w:r>
      <w:r w:rsidRPr="00E32EF5">
        <w:rPr>
          <w:b/>
          <w:bdr w:val="none" w:sz="0" w:space="0" w:color="auto" w:frame="1"/>
          <w:lang w:eastAsia="fr-FR"/>
        </w:rPr>
        <w:t>00 €</w:t>
      </w:r>
      <w:r w:rsidRPr="00E32EF5">
        <w:rPr>
          <w:lang w:eastAsia="fr-FR"/>
        </w:rPr>
        <w:t> s’il s’agit d’entreprises dont l’activité principale est de vendre des marchandises, objets, fournitures ou denrées à emporter ou à consommer sur place, ou de fournir le logement ;</w:t>
      </w:r>
    </w:p>
    <w:p w14:paraId="70B1BF0F" w14:textId="20DD8FE7" w:rsidR="002B65BE" w:rsidRPr="00E32EF5" w:rsidRDefault="002B65BE" w:rsidP="002B65BE">
      <w:pPr>
        <w:pStyle w:val="CGPC-elearning"/>
        <w:rPr>
          <w:lang w:eastAsia="fr-FR"/>
        </w:rPr>
      </w:pPr>
      <w:r w:rsidRPr="00E32EF5">
        <w:rPr>
          <w:lang w:eastAsia="fr-FR"/>
        </w:rPr>
        <w:t>7</w:t>
      </w:r>
      <w:r w:rsidR="0015633A">
        <w:rPr>
          <w:lang w:eastAsia="fr-FR"/>
        </w:rPr>
        <w:t>7</w:t>
      </w:r>
      <w:r w:rsidRPr="00E32EF5">
        <w:rPr>
          <w:lang w:eastAsia="fr-FR"/>
        </w:rPr>
        <w:t xml:space="preserve"> </w:t>
      </w:r>
      <w:r w:rsidR="0015633A">
        <w:rPr>
          <w:lang w:eastAsia="fr-FR"/>
        </w:rPr>
        <w:t>7</w:t>
      </w:r>
      <w:r w:rsidRPr="00E32EF5">
        <w:rPr>
          <w:lang w:eastAsia="fr-FR"/>
        </w:rPr>
        <w:t>00 € pour les autres prestations de service.</w:t>
      </w:r>
    </w:p>
    <w:p w14:paraId="6DFB9E87" w14:textId="77777777" w:rsidR="002B65BE" w:rsidRPr="00E32EF5" w:rsidRDefault="002B65BE" w:rsidP="002B65BE">
      <w:pPr>
        <w:pStyle w:val="CGPC-elearning"/>
        <w:rPr>
          <w:lang w:eastAsia="fr-FR"/>
        </w:rPr>
      </w:pPr>
      <w:r w:rsidRPr="00E32EF5">
        <w:rPr>
          <w:lang w:eastAsia="fr-FR"/>
        </w:rPr>
        <w:t>Les entreprises sont </w:t>
      </w:r>
      <w:r w:rsidRPr="00E32EF5">
        <w:rPr>
          <w:b/>
          <w:bdr w:val="none" w:sz="0" w:space="0" w:color="auto" w:frame="1"/>
          <w:lang w:eastAsia="fr-FR"/>
        </w:rPr>
        <w:t>dispensées de déclaration de bénéfices</w:t>
      </w:r>
      <w:r w:rsidRPr="00E32EF5">
        <w:rPr>
          <w:lang w:eastAsia="fr-FR"/>
        </w:rPr>
        <w:t> ; elles déclarent le montant de leur chiffre d’affaires sur la déclaration d’ensemble des revenus.</w:t>
      </w:r>
    </w:p>
    <w:p w14:paraId="68FD9973" w14:textId="77777777" w:rsidR="002B65BE" w:rsidRPr="00E32EF5" w:rsidRDefault="002B65BE" w:rsidP="002B65BE">
      <w:pPr>
        <w:pStyle w:val="CGPC-elearning"/>
        <w:rPr>
          <w:lang w:eastAsia="fr-FR"/>
        </w:rPr>
      </w:pPr>
      <w:r w:rsidRPr="00E32EF5">
        <w:rPr>
          <w:lang w:eastAsia="fr-FR"/>
        </w:rPr>
        <w:t>Elles sont alors imposées sur un bénéfice net calculé après application d’un </w:t>
      </w:r>
      <w:r w:rsidRPr="00E32EF5">
        <w:rPr>
          <w:b/>
          <w:bdr w:val="none" w:sz="0" w:space="0" w:color="auto" w:frame="1"/>
          <w:lang w:eastAsia="fr-FR"/>
        </w:rPr>
        <w:t>abattement forfaitaire </w:t>
      </w:r>
      <w:r w:rsidRPr="00E32EF5">
        <w:rPr>
          <w:lang w:eastAsia="fr-FR"/>
        </w:rPr>
        <w:t>égal à </w:t>
      </w:r>
      <w:r w:rsidRPr="00E32EF5">
        <w:rPr>
          <w:b/>
          <w:bdr w:val="none" w:sz="0" w:space="0" w:color="auto" w:frame="1"/>
          <w:lang w:eastAsia="fr-FR"/>
        </w:rPr>
        <w:t>71 %</w:t>
      </w:r>
      <w:r w:rsidRPr="00E32EF5">
        <w:rPr>
          <w:lang w:eastAsia="fr-FR"/>
        </w:rPr>
        <w:t> du chiffre d’affaires (activités de vente et de fourniture de logements), ou </w:t>
      </w:r>
      <w:r w:rsidRPr="00E32EF5">
        <w:rPr>
          <w:b/>
          <w:bdr w:val="none" w:sz="0" w:space="0" w:color="auto" w:frame="1"/>
          <w:lang w:eastAsia="fr-FR"/>
        </w:rPr>
        <w:t>50 %</w:t>
      </w:r>
      <w:r w:rsidRPr="00E32EF5">
        <w:rPr>
          <w:lang w:eastAsia="fr-FR"/>
        </w:rPr>
        <w:t> du chiffre d’affaires (autres prestations de services) ou 34% pour les BNC.</w:t>
      </w:r>
    </w:p>
    <w:p w14:paraId="63F4CD15" w14:textId="77777777" w:rsidR="002B65BE" w:rsidRPr="00E32EF5" w:rsidRDefault="002B65BE" w:rsidP="002B65BE">
      <w:pPr>
        <w:pStyle w:val="CGPC-elearning"/>
        <w:rPr>
          <w:lang w:eastAsia="fr-FR"/>
        </w:rPr>
      </w:pPr>
      <w:r w:rsidRPr="00E32EF5">
        <w:rPr>
          <w:lang w:eastAsia="fr-FR"/>
        </w:rPr>
        <w:t>Les contribuables soumis au régime micro-BIC, dont les revenus du foyer fiscal n’excèdent pas, pour une part de quotient familial, la limite supérieure de la 2</w:t>
      </w:r>
      <w:r w:rsidRPr="00E32EF5">
        <w:rPr>
          <w:bdr w:val="none" w:sz="0" w:space="0" w:color="auto" w:frame="1"/>
          <w:vertAlign w:val="superscript"/>
          <w:lang w:eastAsia="fr-FR"/>
        </w:rPr>
        <w:t>e</w:t>
      </w:r>
      <w:r w:rsidRPr="00E32EF5">
        <w:rPr>
          <w:lang w:eastAsia="fr-FR"/>
        </w:rPr>
        <w:t> tranche du barème de l’IR, et ayant opté pour le régime micro-social, peuvent opter, depuis le 1</w:t>
      </w:r>
      <w:r w:rsidRPr="00E32EF5">
        <w:rPr>
          <w:bdr w:val="none" w:sz="0" w:space="0" w:color="auto" w:frame="1"/>
          <w:vertAlign w:val="superscript"/>
          <w:lang w:eastAsia="fr-FR"/>
        </w:rPr>
        <w:t>er</w:t>
      </w:r>
      <w:r w:rsidRPr="00E32EF5">
        <w:rPr>
          <w:lang w:eastAsia="fr-FR"/>
        </w:rPr>
        <w:t> janvier 2009, pour un </w:t>
      </w:r>
      <w:r w:rsidRPr="00E32EF5">
        <w:rPr>
          <w:b/>
          <w:bdr w:val="none" w:sz="0" w:space="0" w:color="auto" w:frame="1"/>
          <w:lang w:eastAsia="fr-FR"/>
        </w:rPr>
        <w:t>versement fiscal libératoire de l’IR</w:t>
      </w:r>
      <w:r w:rsidRPr="00E32EF5">
        <w:rPr>
          <w:lang w:eastAsia="fr-FR"/>
        </w:rPr>
        <w:t>.</w:t>
      </w:r>
    </w:p>
    <w:p w14:paraId="416C8595" w14:textId="77777777" w:rsidR="002B65BE" w:rsidRPr="00E32EF5" w:rsidRDefault="002B65BE" w:rsidP="002B65BE">
      <w:pPr>
        <w:pStyle w:val="CGPC-elearning"/>
        <w:rPr>
          <w:lang w:eastAsia="fr-FR"/>
        </w:rPr>
      </w:pPr>
      <w:r w:rsidRPr="00E32EF5">
        <w:rPr>
          <w:lang w:eastAsia="fr-FR"/>
        </w:rPr>
        <w:t>Le taux de ce versement est de :</w:t>
      </w:r>
    </w:p>
    <w:p w14:paraId="7B4D6EA1" w14:textId="77777777" w:rsidR="002B65BE" w:rsidRPr="00E32EF5" w:rsidRDefault="002B65BE" w:rsidP="002B65BE">
      <w:pPr>
        <w:pStyle w:val="CGPC-elearning"/>
        <w:rPr>
          <w:lang w:eastAsia="fr-FR"/>
        </w:rPr>
      </w:pPr>
      <w:r w:rsidRPr="00E32EF5">
        <w:rPr>
          <w:lang w:eastAsia="fr-FR"/>
        </w:rPr>
        <w:t>1 % du chiffre d’affaires HT du mois ou du trimestre précédent pour les entreprises dont l’activité principale est de vendre des marchandises, objets, fournitures ou denrées à emporter ou consommer sur place, ou de fournir le logement ;</w:t>
      </w:r>
    </w:p>
    <w:p w14:paraId="649A1DF5" w14:textId="77777777" w:rsidR="002B65BE" w:rsidRPr="00E32EF5" w:rsidRDefault="002B65BE" w:rsidP="002B65BE">
      <w:pPr>
        <w:pStyle w:val="CGPC-elearning"/>
        <w:rPr>
          <w:lang w:eastAsia="fr-FR"/>
        </w:rPr>
      </w:pPr>
      <w:r w:rsidRPr="00E32EF5">
        <w:rPr>
          <w:lang w:eastAsia="fr-FR"/>
        </w:rPr>
        <w:t>1,7 % pour les autres entreprises assujetties aux BIC,</w:t>
      </w:r>
    </w:p>
    <w:p w14:paraId="077C296F" w14:textId="77777777" w:rsidR="002B65BE" w:rsidRPr="00E32EF5" w:rsidRDefault="002B65BE" w:rsidP="002B65BE">
      <w:pPr>
        <w:pStyle w:val="CGPC-elearning"/>
        <w:rPr>
          <w:lang w:eastAsia="fr-FR"/>
        </w:rPr>
      </w:pPr>
      <w:r w:rsidRPr="00E32EF5">
        <w:rPr>
          <w:lang w:eastAsia="fr-FR"/>
        </w:rPr>
        <w:t>2,2% pour les contribuables titulaires de BNC.</w:t>
      </w:r>
    </w:p>
    <w:p w14:paraId="414E2A3E" w14:textId="77777777" w:rsidR="002B65BE" w:rsidRPr="00E32EF5" w:rsidRDefault="002B65BE" w:rsidP="002B65BE">
      <w:pPr>
        <w:pStyle w:val="CGPC-elearning"/>
        <w:rPr>
          <w:lang w:eastAsia="fr-FR"/>
        </w:rPr>
      </w:pPr>
      <w:r w:rsidRPr="00E32EF5">
        <w:rPr>
          <w:lang w:eastAsia="fr-FR"/>
        </w:rPr>
        <w:t>Sont principalement exclues du régime micro-BIC les personnes morales passibles de l’IS, quel que soit leur niveau d’activité, ainsi que les sociétés civiles de moyens (SCM) et les associations sans but lucratif.</w:t>
      </w:r>
    </w:p>
    <w:p w14:paraId="6EB758B9" w14:textId="77777777" w:rsidR="002B65BE" w:rsidRPr="00E32EF5" w:rsidRDefault="002B65BE" w:rsidP="002B65BE">
      <w:pPr>
        <w:pStyle w:val="CGPC-elearning"/>
        <w:rPr>
          <w:lang w:eastAsia="fr-FR"/>
        </w:rPr>
      </w:pPr>
      <w:r w:rsidRPr="00E32EF5">
        <w:rPr>
          <w:lang w:eastAsia="fr-FR"/>
        </w:rPr>
        <w:t>Une entreprise qui relève du régime micro-BIC peut opter pour le régime simplifié d’imposition.</w:t>
      </w:r>
    </w:p>
    <w:p w14:paraId="0AD3A6FF" w14:textId="77777777" w:rsidR="002B65BE" w:rsidRPr="002B65BE" w:rsidRDefault="002B65BE" w:rsidP="002B65BE">
      <w:r w:rsidRPr="00E32EF5">
        <w:rPr>
          <w:b/>
          <w:bCs/>
          <w:color w:val="3A5D9C"/>
          <w:sz w:val="33"/>
          <w:szCs w:val="33"/>
          <w:u w:val="single"/>
          <w:lang w:eastAsia="fr-FR"/>
        </w:rPr>
        <w:t> </w:t>
      </w:r>
    </w:p>
    <w:p w14:paraId="74BA4CCA" w14:textId="77777777" w:rsidR="002B65BE" w:rsidRPr="00E32EF5" w:rsidRDefault="002B65BE" w:rsidP="00281D43">
      <w:pPr>
        <w:pStyle w:val="Titre4"/>
        <w:rPr>
          <w:rFonts w:eastAsia="Times New Roman"/>
        </w:rPr>
      </w:pPr>
      <w:r w:rsidRPr="00E32EF5">
        <w:rPr>
          <w:rFonts w:eastAsia="Times New Roman"/>
        </w:rPr>
        <w:t>Obligations comptables</w:t>
      </w:r>
    </w:p>
    <w:p w14:paraId="2A20DE84" w14:textId="77777777" w:rsidR="002B65BE" w:rsidRPr="00E32EF5" w:rsidRDefault="002B65BE" w:rsidP="002B65BE">
      <w:pPr>
        <w:pStyle w:val="CGPC-elearning"/>
        <w:rPr>
          <w:lang w:eastAsia="fr-FR"/>
        </w:rPr>
      </w:pPr>
      <w:r w:rsidRPr="00E32EF5">
        <w:rPr>
          <w:lang w:eastAsia="fr-FR"/>
        </w:rPr>
        <w:t>Dans le régime micro-BIC, la comptabilité est rendue à sa </w:t>
      </w:r>
      <w:r w:rsidRPr="00E32EF5">
        <w:rPr>
          <w:b/>
          <w:bdr w:val="none" w:sz="0" w:space="0" w:color="auto" w:frame="1"/>
          <w:lang w:eastAsia="fr-FR"/>
        </w:rPr>
        <w:t>plus simple expression </w:t>
      </w:r>
      <w:r w:rsidRPr="00E32EF5">
        <w:rPr>
          <w:lang w:eastAsia="fr-FR"/>
        </w:rPr>
        <w:t>(tenue d’un livre-journal présentant le détail des recettes pour toutes les entreprises soumises au régime micro-BIC et d’un registre des achats pour les seules entreprises dont l’activité principale est de vendre des marchandises, objets, fournitures ou denrées à emporter ou consommer sur place, ou de fournir le logement).</w:t>
      </w:r>
    </w:p>
    <w:p w14:paraId="4A052E9E" w14:textId="77777777" w:rsidR="002B65BE" w:rsidRPr="002B65BE" w:rsidRDefault="002B65BE" w:rsidP="002B65BE">
      <w:r w:rsidRPr="002B65BE">
        <w:lastRenderedPageBreak/>
        <w:t> </w:t>
      </w:r>
    </w:p>
    <w:p w14:paraId="43DA33DF" w14:textId="613E3D7E" w:rsidR="002B65BE" w:rsidRPr="00E32EF5" w:rsidRDefault="0036482C" w:rsidP="00C6408A">
      <w:pPr>
        <w:pStyle w:val="Titre3"/>
      </w:pPr>
      <w:bookmarkStart w:id="7" w:name="_Toc158208030"/>
      <w:r w:rsidRPr="00E32EF5">
        <w:t>Les régimes d’imposition selon le bénéfice réel</w:t>
      </w:r>
      <w:bookmarkEnd w:id="7"/>
    </w:p>
    <w:p w14:paraId="2504CF00" w14:textId="77777777" w:rsidR="002B65BE" w:rsidRPr="00281D43" w:rsidRDefault="002B65BE" w:rsidP="00281D43">
      <w:pPr>
        <w:pStyle w:val="Titre4"/>
        <w:numPr>
          <w:ilvl w:val="0"/>
          <w:numId w:val="40"/>
        </w:numPr>
        <w:rPr>
          <w:rFonts w:eastAsia="Times New Roman"/>
          <w:lang w:eastAsia="fr-FR"/>
        </w:rPr>
      </w:pPr>
      <w:r w:rsidRPr="00281D43">
        <w:rPr>
          <w:rFonts w:eastAsia="Times New Roman"/>
          <w:lang w:eastAsia="fr-FR"/>
        </w:rPr>
        <w:t>Application du régime simplifié</w:t>
      </w:r>
    </w:p>
    <w:p w14:paraId="4485F66F" w14:textId="77777777" w:rsidR="002B65BE" w:rsidRPr="00E32EF5" w:rsidRDefault="002B65BE" w:rsidP="002B65BE">
      <w:pPr>
        <w:pStyle w:val="CGPC-elearning"/>
        <w:rPr>
          <w:lang w:eastAsia="fr-FR"/>
        </w:rPr>
      </w:pPr>
      <w:r w:rsidRPr="00E32EF5">
        <w:rPr>
          <w:b/>
          <w:bdr w:val="none" w:sz="0" w:space="0" w:color="auto" w:frame="1"/>
          <w:lang w:eastAsia="fr-FR"/>
        </w:rPr>
        <w:t>Le régime simplifié </w:t>
      </w:r>
      <w:r w:rsidRPr="00E32EF5">
        <w:rPr>
          <w:lang w:eastAsia="fr-FR"/>
        </w:rPr>
        <w:t>s’applique aux entreprises dont le chiffre d’affaires HT de l’année civile précédente est compris dans les limites suivantes :</w:t>
      </w:r>
    </w:p>
    <w:p w14:paraId="624BEC72" w14:textId="78581D87" w:rsidR="002B65BE" w:rsidRPr="00E32EF5" w:rsidRDefault="002B65BE" w:rsidP="002B65BE">
      <w:pPr>
        <w:pStyle w:val="CGPC-elearning"/>
        <w:rPr>
          <w:lang w:eastAsia="fr-FR"/>
        </w:rPr>
      </w:pPr>
      <w:r w:rsidRPr="00E32EF5">
        <w:rPr>
          <w:b/>
          <w:bdr w:val="none" w:sz="0" w:space="0" w:color="auto" w:frame="1"/>
          <w:lang w:eastAsia="fr-FR"/>
        </w:rPr>
        <w:t>1</w:t>
      </w:r>
      <w:r w:rsidR="009D64BE">
        <w:rPr>
          <w:b/>
          <w:bdr w:val="none" w:sz="0" w:space="0" w:color="auto" w:frame="1"/>
          <w:lang w:eastAsia="fr-FR"/>
        </w:rPr>
        <w:t>88</w:t>
      </w:r>
      <w:r>
        <w:rPr>
          <w:b/>
          <w:bdr w:val="none" w:sz="0" w:space="0" w:color="auto" w:frame="1"/>
          <w:lang w:eastAsia="fr-FR"/>
        </w:rPr>
        <w:t xml:space="preserve"> </w:t>
      </w:r>
      <w:r w:rsidR="009D64BE">
        <w:rPr>
          <w:b/>
          <w:bdr w:val="none" w:sz="0" w:space="0" w:color="auto" w:frame="1"/>
          <w:lang w:eastAsia="fr-FR"/>
        </w:rPr>
        <w:t>7</w:t>
      </w:r>
      <w:r w:rsidRPr="00E32EF5">
        <w:rPr>
          <w:b/>
          <w:bdr w:val="none" w:sz="0" w:space="0" w:color="auto" w:frame="1"/>
          <w:lang w:eastAsia="fr-FR"/>
        </w:rPr>
        <w:t>00 € </w:t>
      </w:r>
      <w:r w:rsidRPr="00E32EF5">
        <w:rPr>
          <w:lang w:eastAsia="fr-FR"/>
        </w:rPr>
        <w:t>et </w:t>
      </w:r>
      <w:r w:rsidR="009D64BE">
        <w:rPr>
          <w:b/>
          <w:bdr w:val="none" w:sz="0" w:space="0" w:color="auto" w:frame="1"/>
          <w:lang w:eastAsia="fr-FR"/>
        </w:rPr>
        <w:t>840</w:t>
      </w:r>
      <w:r w:rsidRPr="00E32EF5">
        <w:rPr>
          <w:b/>
          <w:bdr w:val="none" w:sz="0" w:space="0" w:color="auto" w:frame="1"/>
          <w:lang w:eastAsia="fr-FR"/>
        </w:rPr>
        <w:t xml:space="preserve"> 000 €</w:t>
      </w:r>
      <w:r w:rsidRPr="00E32EF5">
        <w:rPr>
          <w:lang w:eastAsia="fr-FR"/>
        </w:rPr>
        <w:t>  pour les entreprises dont l’activité principale est de vendre des marchandises, objets, fournitures ou denrées à emporter ou à consommer sur place, ou de fournir le logement ;</w:t>
      </w:r>
    </w:p>
    <w:p w14:paraId="15BAAF61" w14:textId="3A204394" w:rsidR="002B65BE" w:rsidRPr="00E32EF5" w:rsidRDefault="002B65BE" w:rsidP="002B65BE">
      <w:pPr>
        <w:pStyle w:val="CGPC-elearning"/>
        <w:rPr>
          <w:lang w:eastAsia="fr-FR"/>
        </w:rPr>
      </w:pPr>
      <w:r w:rsidRPr="00E32EF5">
        <w:rPr>
          <w:b/>
          <w:bdr w:val="none" w:sz="0" w:space="0" w:color="auto" w:frame="1"/>
          <w:lang w:eastAsia="fr-FR"/>
        </w:rPr>
        <w:t>7</w:t>
      </w:r>
      <w:r w:rsidR="009D64BE">
        <w:rPr>
          <w:b/>
          <w:bdr w:val="none" w:sz="0" w:space="0" w:color="auto" w:frame="1"/>
          <w:lang w:eastAsia="fr-FR"/>
        </w:rPr>
        <w:t>7</w:t>
      </w:r>
      <w:r w:rsidRPr="00E32EF5">
        <w:rPr>
          <w:b/>
          <w:bdr w:val="none" w:sz="0" w:space="0" w:color="auto" w:frame="1"/>
          <w:lang w:eastAsia="fr-FR"/>
        </w:rPr>
        <w:t xml:space="preserve"> </w:t>
      </w:r>
      <w:r w:rsidR="009D64BE">
        <w:rPr>
          <w:b/>
          <w:bdr w:val="none" w:sz="0" w:space="0" w:color="auto" w:frame="1"/>
          <w:lang w:eastAsia="fr-FR"/>
        </w:rPr>
        <w:t>7</w:t>
      </w:r>
      <w:r w:rsidRPr="00E32EF5">
        <w:rPr>
          <w:b/>
          <w:bdr w:val="none" w:sz="0" w:space="0" w:color="auto" w:frame="1"/>
          <w:lang w:eastAsia="fr-FR"/>
        </w:rPr>
        <w:t>00 € </w:t>
      </w:r>
      <w:r w:rsidRPr="00E32EF5">
        <w:rPr>
          <w:lang w:eastAsia="fr-FR"/>
        </w:rPr>
        <w:t>et </w:t>
      </w:r>
      <w:r w:rsidRPr="00E32EF5">
        <w:rPr>
          <w:b/>
          <w:bdr w:val="none" w:sz="0" w:space="0" w:color="auto" w:frame="1"/>
          <w:lang w:eastAsia="fr-FR"/>
        </w:rPr>
        <w:t>2</w:t>
      </w:r>
      <w:r w:rsidR="009D64BE">
        <w:rPr>
          <w:b/>
          <w:bdr w:val="none" w:sz="0" w:space="0" w:color="auto" w:frame="1"/>
          <w:lang w:eastAsia="fr-FR"/>
        </w:rPr>
        <w:t>54</w:t>
      </w:r>
      <w:r w:rsidRPr="00E32EF5">
        <w:rPr>
          <w:b/>
          <w:bdr w:val="none" w:sz="0" w:space="0" w:color="auto" w:frame="1"/>
          <w:lang w:eastAsia="fr-FR"/>
        </w:rPr>
        <w:t> 000 €</w:t>
      </w:r>
      <w:r w:rsidRPr="00E32EF5">
        <w:rPr>
          <w:lang w:eastAsia="fr-FR"/>
        </w:rPr>
        <w:t>  pour les autres prestations de service.</w:t>
      </w:r>
    </w:p>
    <w:p w14:paraId="35E6C72C" w14:textId="77777777" w:rsidR="002B65BE" w:rsidRPr="00E32EF5" w:rsidRDefault="002B65BE" w:rsidP="002B65BE">
      <w:pPr>
        <w:pStyle w:val="CGPC-elearning"/>
        <w:rPr>
          <w:lang w:eastAsia="fr-FR"/>
        </w:rPr>
      </w:pPr>
      <w:r w:rsidRPr="00E32EF5">
        <w:rPr>
          <w:lang w:eastAsia="fr-FR"/>
        </w:rPr>
        <w:t>Ce régime s’applique aussi de plein droit aux entreprises exclues du régime micro-BIC et dont le CA est cependant inférieur à ces limites.</w:t>
      </w:r>
    </w:p>
    <w:p w14:paraId="7173BFE5" w14:textId="77777777" w:rsidR="002B65BE" w:rsidRPr="00E32EF5" w:rsidRDefault="002B65BE" w:rsidP="002B65BE">
      <w:pPr>
        <w:pStyle w:val="CGPC-elearning"/>
        <w:rPr>
          <w:lang w:eastAsia="fr-FR"/>
        </w:rPr>
      </w:pPr>
      <w:r w:rsidRPr="00E32EF5">
        <w:rPr>
          <w:lang w:eastAsia="fr-FR"/>
        </w:rPr>
        <w:t>Le bénéfice imposable se détermine comme en matière de réel normal. Seules les contraintes comptables sont moins lourdes.</w:t>
      </w:r>
    </w:p>
    <w:p w14:paraId="00959707" w14:textId="77777777" w:rsidR="002B65BE" w:rsidRPr="00E32EF5" w:rsidRDefault="002B65BE" w:rsidP="002B65BE">
      <w:pPr>
        <w:pStyle w:val="CGPC-elearning"/>
        <w:rPr>
          <w:lang w:eastAsia="fr-FR"/>
        </w:rPr>
      </w:pPr>
      <w:r w:rsidRPr="00E32EF5">
        <w:rPr>
          <w:lang w:eastAsia="fr-FR"/>
        </w:rPr>
        <w:t>Une entreprise qui relève du simplifié peut opter pour le réel normal, ou passer au régime micro-BIC en cas d’abaissement de son niveau d’activité.</w:t>
      </w:r>
    </w:p>
    <w:p w14:paraId="05CF8B23" w14:textId="77777777" w:rsidR="002B65BE" w:rsidRPr="00E32EF5" w:rsidRDefault="002B65BE" w:rsidP="002B65BE">
      <w:pPr>
        <w:pStyle w:val="CGPC-elearning"/>
        <w:rPr>
          <w:lang w:eastAsia="fr-FR"/>
        </w:rPr>
      </w:pPr>
      <w:r w:rsidRPr="00E32EF5">
        <w:rPr>
          <w:b/>
          <w:bdr w:val="none" w:sz="0" w:space="0" w:color="auto" w:frame="1"/>
          <w:lang w:eastAsia="fr-FR"/>
        </w:rPr>
        <w:t>Le régime du réel normal </w:t>
      </w:r>
      <w:r w:rsidRPr="00E32EF5">
        <w:rPr>
          <w:lang w:eastAsia="fr-FR"/>
        </w:rPr>
        <w:t>s’applique aux entreprises dont le chiffre d’affaires dépasse les limites du régime simplifié et aux entreprises normalement soumises au réel simplifié ayant opté pour le réel normal.</w:t>
      </w:r>
    </w:p>
    <w:p w14:paraId="06197BE9" w14:textId="77777777" w:rsidR="002B65BE" w:rsidRPr="002B65BE" w:rsidRDefault="002B65BE" w:rsidP="002B65BE">
      <w:r w:rsidRPr="002B65BE">
        <w:t> </w:t>
      </w:r>
    </w:p>
    <w:p w14:paraId="1AB34F7A" w14:textId="77777777" w:rsidR="002B65BE" w:rsidRPr="00E32EF5" w:rsidRDefault="002B65BE" w:rsidP="00281D43">
      <w:pPr>
        <w:pStyle w:val="Titre4"/>
        <w:rPr>
          <w:rFonts w:eastAsia="Times New Roman"/>
          <w:lang w:eastAsia="fr-FR"/>
        </w:rPr>
      </w:pPr>
      <w:r w:rsidRPr="00E32EF5">
        <w:rPr>
          <w:rFonts w:eastAsia="Times New Roman"/>
          <w:lang w:eastAsia="fr-FR"/>
        </w:rPr>
        <w:t>Obligations comptables</w:t>
      </w:r>
    </w:p>
    <w:p w14:paraId="6BFCCDDE" w14:textId="77777777" w:rsidR="002B65BE" w:rsidRPr="00E32EF5" w:rsidRDefault="002B65BE" w:rsidP="002B65BE">
      <w:pPr>
        <w:pStyle w:val="CGPC-elearning"/>
        <w:rPr>
          <w:lang w:eastAsia="fr-FR"/>
        </w:rPr>
      </w:pPr>
      <w:r w:rsidRPr="00E32EF5">
        <w:rPr>
          <w:lang w:eastAsia="fr-FR"/>
        </w:rPr>
        <w:t>Le régime simplifié s’appuie sur un bilan et un compte de résultat simplifiés. Le régime du réel impose une comptabilité détaillée permettant d’établir les documents fiscaux correspondants.</w:t>
      </w:r>
    </w:p>
    <w:p w14:paraId="5C729E28" w14:textId="77777777" w:rsidR="002B65BE" w:rsidRPr="00E32EF5" w:rsidRDefault="002B65BE" w:rsidP="002B65BE">
      <w:pPr>
        <w:spacing w:after="0" w:line="360" w:lineRule="atLeast"/>
        <w:textAlignment w:val="baseline"/>
        <w:rPr>
          <w:rFonts w:eastAsia="Times New Roman" w:cs="Open Sans"/>
          <w:color w:val="666666"/>
          <w:sz w:val="20"/>
          <w:szCs w:val="20"/>
          <w:lang w:eastAsia="fr-FR"/>
        </w:rPr>
      </w:pPr>
      <w:r w:rsidRPr="00E32EF5">
        <w:rPr>
          <w:rFonts w:eastAsia="Times New Roman" w:cs="Open Sans"/>
          <w:color w:val="666666"/>
          <w:sz w:val="20"/>
          <w:szCs w:val="20"/>
          <w:lang w:eastAsia="fr-FR"/>
        </w:rPr>
        <w:t> </w:t>
      </w:r>
    </w:p>
    <w:p w14:paraId="53629749" w14:textId="7D7EF3BE" w:rsidR="002B65BE" w:rsidRPr="00E32EF5" w:rsidRDefault="0036482C" w:rsidP="00C6408A">
      <w:pPr>
        <w:pStyle w:val="Titre3"/>
      </w:pPr>
      <w:bookmarkStart w:id="8" w:name="_Toc158208031"/>
      <w:r w:rsidRPr="00E32EF5">
        <w:lastRenderedPageBreak/>
        <w:t>Les exonérations d’impôt temporaires</w:t>
      </w:r>
      <w:bookmarkEnd w:id="8"/>
    </w:p>
    <w:p w14:paraId="0852BB17" w14:textId="77777777" w:rsidR="002B65BE" w:rsidRPr="00281D43" w:rsidRDefault="002B65BE" w:rsidP="00281D43">
      <w:pPr>
        <w:pStyle w:val="Titre4"/>
        <w:numPr>
          <w:ilvl w:val="0"/>
          <w:numId w:val="41"/>
        </w:numPr>
        <w:rPr>
          <w:rFonts w:eastAsia="Times New Roman"/>
          <w:lang w:eastAsia="fr-FR"/>
        </w:rPr>
      </w:pPr>
      <w:r w:rsidRPr="00281D43">
        <w:rPr>
          <w:rFonts w:eastAsia="Times New Roman"/>
          <w:lang w:eastAsia="fr-FR"/>
        </w:rPr>
        <w:t>La reprise d’entreprises en difficultés</w:t>
      </w:r>
    </w:p>
    <w:p w14:paraId="68E02696" w14:textId="77777777" w:rsidR="002B65BE" w:rsidRPr="00E32EF5" w:rsidRDefault="002B65BE" w:rsidP="00281D43">
      <w:pPr>
        <w:pStyle w:val="CGPC-elearning"/>
        <w:rPr>
          <w:lang w:eastAsia="fr-FR"/>
        </w:rPr>
      </w:pPr>
      <w:r w:rsidRPr="00E32EF5">
        <w:rPr>
          <w:lang w:eastAsia="fr-FR"/>
        </w:rPr>
        <w:t>Les sociétés soumises à l’IS, créées pour la reprise d’une entreprise en difficulté exerçant certaines activités industrielles, sont exonérées d’impôt pendant les 24 premiers mois de la reprise dans la limite d’un plafond.</w:t>
      </w:r>
    </w:p>
    <w:p w14:paraId="7A354266" w14:textId="77777777" w:rsidR="002B65BE" w:rsidRPr="00AD0429" w:rsidRDefault="002B65BE" w:rsidP="00281D43">
      <w:pPr>
        <w:pStyle w:val="CGPC-elearning"/>
        <w:rPr>
          <w:lang w:eastAsia="fr-FR"/>
        </w:rPr>
      </w:pPr>
      <w:r w:rsidRPr="00E32EF5">
        <w:rPr>
          <w:lang w:eastAsia="fr-FR"/>
        </w:rPr>
        <w:t>Les personnes morales ou physiques qui ont détenu plus de 50 % du capital de la société reprise ne peuvent participer à la société repreneuse.</w:t>
      </w:r>
    </w:p>
    <w:p w14:paraId="68413132" w14:textId="77777777" w:rsidR="002B65BE" w:rsidRPr="00E32EF5" w:rsidRDefault="002B65BE" w:rsidP="00281D43">
      <w:pPr>
        <w:pStyle w:val="Titre4"/>
        <w:rPr>
          <w:rFonts w:eastAsia="Times New Roman"/>
        </w:rPr>
      </w:pPr>
      <w:r w:rsidRPr="00E32EF5">
        <w:rPr>
          <w:rFonts w:eastAsia="Times New Roman"/>
        </w:rPr>
        <w:t>Le statut fiscal de jeune entreprise innovante (JEI)</w:t>
      </w:r>
    </w:p>
    <w:p w14:paraId="28094BF8" w14:textId="77777777" w:rsidR="002B65BE" w:rsidRPr="00E32EF5" w:rsidRDefault="002B65BE" w:rsidP="00281D43">
      <w:pPr>
        <w:pStyle w:val="CGPC-elearning"/>
        <w:rPr>
          <w:lang w:eastAsia="fr-FR"/>
        </w:rPr>
      </w:pPr>
      <w:r w:rsidRPr="00E32EF5">
        <w:rPr>
          <w:lang w:eastAsia="fr-FR"/>
        </w:rPr>
        <w:t>Ce statut a été créé pour apporter un soutien, dans leur phase de démarrage, aux </w:t>
      </w:r>
      <w:r w:rsidRPr="00E32EF5">
        <w:rPr>
          <w:bdr w:val="none" w:sz="0" w:space="0" w:color="auto" w:frame="1"/>
          <w:lang w:eastAsia="fr-FR"/>
        </w:rPr>
        <w:t>entreprises spécialisées dans l’innovation qui mènent des projets de recherche et de développement, créées avant le 31 décembre 202</w:t>
      </w:r>
      <w:r>
        <w:rPr>
          <w:bdr w:val="none" w:sz="0" w:space="0" w:color="auto" w:frame="1"/>
          <w:lang w:eastAsia="fr-FR"/>
        </w:rPr>
        <w:t>5</w:t>
      </w:r>
      <w:r w:rsidRPr="00E32EF5">
        <w:rPr>
          <w:lang w:eastAsia="fr-FR"/>
        </w:rPr>
        <w:t>.</w:t>
      </w:r>
    </w:p>
    <w:p w14:paraId="07B425CA" w14:textId="77777777" w:rsidR="002B65BE" w:rsidRPr="00E32EF5" w:rsidRDefault="002B65BE" w:rsidP="00281D43">
      <w:pPr>
        <w:pStyle w:val="CGPC-elearning"/>
        <w:rPr>
          <w:lang w:eastAsia="fr-FR"/>
        </w:rPr>
      </w:pPr>
      <w:r w:rsidRPr="00E32EF5">
        <w:rPr>
          <w:lang w:eastAsia="fr-FR"/>
        </w:rPr>
        <w:t>Le </w:t>
      </w:r>
      <w:r w:rsidRPr="00E32EF5">
        <w:rPr>
          <w:bdr w:val="none" w:sz="0" w:space="0" w:color="auto" w:frame="1"/>
          <w:lang w:eastAsia="fr-FR"/>
        </w:rPr>
        <w:t>régime fiscal de la JEI </w:t>
      </w:r>
      <w:r w:rsidRPr="00E32EF5">
        <w:rPr>
          <w:lang w:eastAsia="fr-FR"/>
        </w:rPr>
        <w:t>permet de bénéficier d’avantages significatifs :</w:t>
      </w:r>
    </w:p>
    <w:p w14:paraId="251A6ECE" w14:textId="77777777" w:rsidR="002B65BE" w:rsidRPr="00E32EF5" w:rsidRDefault="002B65BE" w:rsidP="00281D43">
      <w:pPr>
        <w:pStyle w:val="CGPC-elearning"/>
        <w:rPr>
          <w:lang w:eastAsia="fr-FR"/>
        </w:rPr>
      </w:pPr>
      <w:r w:rsidRPr="00E32EF5">
        <w:rPr>
          <w:lang w:eastAsia="fr-FR"/>
        </w:rPr>
        <w:t xml:space="preserve">exonération totale d’impôt sur le revenu ou d’impôt sur les </w:t>
      </w:r>
      <w:proofErr w:type="spellStart"/>
      <w:r w:rsidRPr="00E32EF5">
        <w:rPr>
          <w:lang w:eastAsia="fr-FR"/>
        </w:rPr>
        <w:t>sociétésau</w:t>
      </w:r>
      <w:proofErr w:type="spellEnd"/>
      <w:r w:rsidRPr="00E32EF5">
        <w:rPr>
          <w:lang w:eastAsia="fr-FR"/>
        </w:rPr>
        <w:t xml:space="preserve"> titre du premier exercice et abattement de 50 % au titre du deuxième exercice ;</w:t>
      </w:r>
    </w:p>
    <w:p w14:paraId="0219A610" w14:textId="77777777" w:rsidR="002B65BE" w:rsidRPr="00E32EF5" w:rsidRDefault="002B65BE" w:rsidP="00281D43">
      <w:pPr>
        <w:pStyle w:val="CGPC-elearning"/>
        <w:rPr>
          <w:lang w:eastAsia="fr-FR"/>
        </w:rPr>
      </w:pPr>
      <w:r w:rsidRPr="00E32EF5">
        <w:rPr>
          <w:lang w:eastAsia="fr-FR"/>
        </w:rPr>
        <w:t>exonération de taxe foncière sur les propriétés bâties et de CFE (cotisation foncière des entreprises) pendant 7 ans (sur délibération des collectivités locales) ;</w:t>
      </w:r>
    </w:p>
    <w:p w14:paraId="2D046365" w14:textId="77777777" w:rsidR="002B65BE" w:rsidRPr="00E32EF5" w:rsidRDefault="002B65BE" w:rsidP="00281D43">
      <w:pPr>
        <w:pStyle w:val="CGPC-elearning"/>
        <w:rPr>
          <w:lang w:eastAsia="fr-FR"/>
        </w:rPr>
      </w:pPr>
      <w:r w:rsidRPr="00E32EF5">
        <w:rPr>
          <w:lang w:eastAsia="fr-FR"/>
        </w:rPr>
        <w:t>exonération, pendant 7 ans, des cotisations sociales patronales de Sécurité sociale pour les salariés et les mandataires sociaux qui participent à l’activité de recherche à titre principal, dans certaines limites (nombres d’heures à prendre en compte pour les mandataires sociaux, les suspensions de contrat de travail, etc.) ainsi qu’aux personnels affectés à la réalisation d’opérations de conception de </w:t>
      </w:r>
      <w:proofErr w:type="spellStart"/>
      <w:r w:rsidRPr="00E32EF5">
        <w:rPr>
          <w:lang w:eastAsia="fr-FR"/>
        </w:rPr>
        <w:t>prototypesou</w:t>
      </w:r>
      <w:proofErr w:type="spellEnd"/>
      <w:r w:rsidRPr="00E32EF5">
        <w:rPr>
          <w:lang w:eastAsia="fr-FR"/>
        </w:rPr>
        <w:t xml:space="preserve"> d’installations</w:t>
      </w:r>
    </w:p>
    <w:p w14:paraId="1C65DA49" w14:textId="77777777" w:rsidR="002B65BE" w:rsidRDefault="002B65BE" w:rsidP="00281D43">
      <w:pPr>
        <w:pStyle w:val="CGPC-elearning"/>
        <w:rPr>
          <w:lang w:eastAsia="fr-FR"/>
        </w:rPr>
      </w:pPr>
      <w:r w:rsidRPr="00E32EF5">
        <w:rPr>
          <w:lang w:eastAsia="fr-FR"/>
        </w:rPr>
        <w:t>À noter que la limite annuelle de cotisations exonérées fait l’objet d’un calcul au prorata pour les établissements créés ou supprimés en cours d’année.</w:t>
      </w:r>
    </w:p>
    <w:p w14:paraId="20512256" w14:textId="1887A6D7" w:rsidR="000570C2" w:rsidRPr="0073633C" w:rsidRDefault="000570C2" w:rsidP="00281D43">
      <w:pPr>
        <w:pStyle w:val="CGPC-elearning"/>
        <w:rPr>
          <w:lang w:eastAsia="fr-FR"/>
        </w:rPr>
      </w:pPr>
      <w:r>
        <w:rPr>
          <w:lang w:eastAsia="fr-FR"/>
        </w:rPr>
        <w:t>Une modification du dispositif a été intégrée dans la loi de finances pour 2024.</w:t>
      </w:r>
    </w:p>
    <w:p w14:paraId="0A73DCAB" w14:textId="77777777" w:rsidR="002B65BE" w:rsidRPr="00E32EF5" w:rsidRDefault="002B65BE" w:rsidP="00281D43">
      <w:pPr>
        <w:pStyle w:val="Titre4"/>
        <w:rPr>
          <w:rFonts w:eastAsia="Times New Roman"/>
          <w:lang w:eastAsia="fr-FR"/>
        </w:rPr>
      </w:pPr>
      <w:r w:rsidRPr="00E32EF5">
        <w:rPr>
          <w:rFonts w:eastAsia="Times New Roman"/>
          <w:lang w:eastAsia="fr-FR"/>
        </w:rPr>
        <w:lastRenderedPageBreak/>
        <w:t>Le statut fiscal de jeune entreprise universitaire (JEU)</w:t>
      </w:r>
    </w:p>
    <w:p w14:paraId="19E53DCD" w14:textId="77777777" w:rsidR="002B65BE" w:rsidRPr="00E32EF5" w:rsidRDefault="002B65BE" w:rsidP="00281D43">
      <w:pPr>
        <w:pStyle w:val="CGPC-elearning"/>
        <w:rPr>
          <w:lang w:eastAsia="fr-FR"/>
        </w:rPr>
      </w:pPr>
      <w:r w:rsidRPr="00E32EF5">
        <w:rPr>
          <w:lang w:eastAsia="fr-FR"/>
        </w:rPr>
        <w:t xml:space="preserve">Les lois de finances pour 2008 </w:t>
      </w:r>
      <w:r>
        <w:rPr>
          <w:lang w:eastAsia="fr-FR"/>
        </w:rPr>
        <w:t xml:space="preserve"> ont </w:t>
      </w:r>
      <w:r w:rsidRPr="00E32EF5">
        <w:rPr>
          <w:lang w:eastAsia="fr-FR"/>
        </w:rPr>
        <w:t>étend</w:t>
      </w:r>
      <w:r>
        <w:rPr>
          <w:lang w:eastAsia="fr-FR"/>
        </w:rPr>
        <w:t>u</w:t>
      </w:r>
      <w:r w:rsidRPr="00E32EF5">
        <w:rPr>
          <w:lang w:eastAsia="fr-FR"/>
        </w:rPr>
        <w:t xml:space="preserve"> le bénéfice du statut de la jeune entreprise innovante et les avantages fiscaux qui lui sont liés aux </w:t>
      </w:r>
      <w:r w:rsidRPr="00E32EF5">
        <w:rPr>
          <w:b/>
          <w:bdr w:val="none" w:sz="0" w:space="0" w:color="auto" w:frame="1"/>
          <w:lang w:eastAsia="fr-FR"/>
        </w:rPr>
        <w:t>jeunes entreprises universitaires</w:t>
      </w:r>
      <w:r w:rsidRPr="00E32EF5">
        <w:rPr>
          <w:lang w:eastAsia="fr-FR"/>
        </w:rPr>
        <w:t>.</w:t>
      </w:r>
    </w:p>
    <w:p w14:paraId="0A80A55C" w14:textId="77777777" w:rsidR="002B65BE" w:rsidRPr="00E32EF5" w:rsidRDefault="002B65BE" w:rsidP="00281D43">
      <w:pPr>
        <w:pStyle w:val="CGPC-elearning"/>
        <w:rPr>
          <w:lang w:eastAsia="fr-FR"/>
        </w:rPr>
      </w:pPr>
      <w:r w:rsidRPr="00E32EF5">
        <w:rPr>
          <w:lang w:eastAsia="fr-FR"/>
        </w:rPr>
        <w:t>Critères d’éligibilité :</w:t>
      </w:r>
    </w:p>
    <w:p w14:paraId="045483A1" w14:textId="77777777" w:rsidR="002B65BE" w:rsidRPr="00E32EF5" w:rsidRDefault="002B65BE" w:rsidP="00281D43">
      <w:pPr>
        <w:pStyle w:val="CGPC-elearning"/>
        <w:rPr>
          <w:lang w:eastAsia="fr-FR"/>
        </w:rPr>
      </w:pPr>
      <w:r w:rsidRPr="00E32EF5">
        <w:rPr>
          <w:lang w:eastAsia="fr-FR"/>
        </w:rPr>
        <w:t>PME de moins de 8 ans d’existence ;</w:t>
      </w:r>
    </w:p>
    <w:p w14:paraId="394A7CB9" w14:textId="77777777" w:rsidR="002B65BE" w:rsidRPr="00E32EF5" w:rsidRDefault="002B65BE" w:rsidP="00281D43">
      <w:pPr>
        <w:pStyle w:val="CGPC-elearning"/>
        <w:rPr>
          <w:lang w:eastAsia="fr-FR"/>
        </w:rPr>
      </w:pPr>
      <w:r w:rsidRPr="00E32EF5">
        <w:rPr>
          <w:lang w:eastAsia="fr-FR"/>
        </w:rPr>
        <w:t>dirigée par des diplômés (master ou doctorat), étudiants ou enseignants détenant au moins 10 % des parts ;</w:t>
      </w:r>
    </w:p>
    <w:p w14:paraId="799F98C0" w14:textId="77777777" w:rsidR="002B65BE" w:rsidRPr="004E4288" w:rsidRDefault="002B65BE" w:rsidP="00281D43">
      <w:pPr>
        <w:pStyle w:val="CGPC-elearning"/>
        <w:rPr>
          <w:lang w:eastAsia="fr-FR"/>
        </w:rPr>
      </w:pPr>
      <w:r w:rsidRPr="00E32EF5">
        <w:rPr>
          <w:lang w:eastAsia="fr-FR"/>
        </w:rPr>
        <w:t>dont l’activité principale consiste en la valorisation de travaux de recherche.</w:t>
      </w:r>
      <w:r w:rsidRPr="004E4288">
        <w:rPr>
          <w:b/>
          <w:caps/>
          <w:color w:val="3A5D9C"/>
          <w:sz w:val="36"/>
          <w:u w:val="single"/>
          <w:lang w:eastAsia="fr-FR"/>
        </w:rPr>
        <w:t> </w:t>
      </w:r>
    </w:p>
    <w:p w14:paraId="7AB3EBE4" w14:textId="2F1869CB" w:rsidR="002B65BE" w:rsidRPr="00E32EF5" w:rsidRDefault="0036482C" w:rsidP="00C6408A">
      <w:pPr>
        <w:pStyle w:val="Titre3"/>
      </w:pPr>
      <w:bookmarkStart w:id="9" w:name="_Toc158208032"/>
      <w:r w:rsidRPr="00E32EF5">
        <w:t>Les autres mesures d’aide</w:t>
      </w:r>
      <w:bookmarkEnd w:id="9"/>
      <w:r w:rsidRPr="00E32EF5">
        <w:t> </w:t>
      </w:r>
    </w:p>
    <w:p w14:paraId="636D8AA1" w14:textId="77777777" w:rsidR="002B65BE" w:rsidRPr="00281D43" w:rsidRDefault="002B65BE" w:rsidP="00281D43">
      <w:pPr>
        <w:pStyle w:val="Titre4"/>
        <w:numPr>
          <w:ilvl w:val="0"/>
          <w:numId w:val="43"/>
        </w:numPr>
        <w:rPr>
          <w:rFonts w:eastAsia="Times New Roman"/>
          <w:lang w:eastAsia="fr-FR"/>
        </w:rPr>
      </w:pPr>
      <w:r w:rsidRPr="00281D43">
        <w:rPr>
          <w:rFonts w:eastAsia="Times New Roman"/>
          <w:lang w:eastAsia="fr-FR"/>
        </w:rPr>
        <w:t>L’amortissement des titres de PME innovantes</w:t>
      </w:r>
    </w:p>
    <w:p w14:paraId="7C6C259D" w14:textId="77777777" w:rsidR="002B65BE" w:rsidRPr="00E32EF5" w:rsidRDefault="002B65BE" w:rsidP="00281D43">
      <w:pPr>
        <w:pStyle w:val="Titre5"/>
      </w:pPr>
      <w:r w:rsidRPr="00E32EF5">
        <w:t>Sociétés concernées</w:t>
      </w:r>
    </w:p>
    <w:p w14:paraId="5BEC0426" w14:textId="77777777" w:rsidR="002B65BE" w:rsidRPr="00E32EF5" w:rsidRDefault="002B65BE" w:rsidP="00281D43">
      <w:pPr>
        <w:pStyle w:val="CGPC-elearning"/>
        <w:rPr>
          <w:lang w:eastAsia="fr-FR"/>
        </w:rPr>
      </w:pPr>
      <w:r w:rsidRPr="00E32EF5">
        <w:rPr>
          <w:lang w:eastAsia="fr-FR"/>
        </w:rPr>
        <w:t>Les sociétés soumises à l’IS peuvent également bénéficier d’un amortissement exceptionnel, sur </w:t>
      </w:r>
      <w:r w:rsidRPr="00E32EF5">
        <w:rPr>
          <w:b/>
          <w:bdr w:val="none" w:sz="0" w:space="0" w:color="auto" w:frame="1"/>
          <w:lang w:eastAsia="fr-FR"/>
        </w:rPr>
        <w:t>5 ans</w:t>
      </w:r>
      <w:r w:rsidRPr="00E32EF5">
        <w:rPr>
          <w:lang w:eastAsia="fr-FR"/>
        </w:rPr>
        <w:t>, des sommes versées (directement ou par l’intermédiaire de FCPR, de FPCI, de SCR ou de sociétés de libre partenariat), pour la souscription en numéraire de parts de PME innovantes, à condition de conserver les parts pendant </w:t>
      </w:r>
      <w:r w:rsidRPr="00E32EF5">
        <w:rPr>
          <w:b/>
          <w:bdr w:val="none" w:sz="0" w:space="0" w:color="auto" w:frame="1"/>
          <w:lang w:eastAsia="fr-FR"/>
        </w:rPr>
        <w:t>au moins 2 ans</w:t>
      </w:r>
      <w:r w:rsidRPr="00E32EF5">
        <w:rPr>
          <w:lang w:eastAsia="fr-FR"/>
        </w:rPr>
        <w:t>.</w:t>
      </w:r>
    </w:p>
    <w:p w14:paraId="0868196C" w14:textId="77777777" w:rsidR="002B65BE" w:rsidRPr="00E32EF5" w:rsidRDefault="002B65BE" w:rsidP="00281D43">
      <w:pPr>
        <w:pStyle w:val="CGPC-elearning"/>
        <w:rPr>
          <w:lang w:eastAsia="fr-FR"/>
        </w:rPr>
      </w:pPr>
      <w:r w:rsidRPr="00E32EF5">
        <w:rPr>
          <w:lang w:eastAsia="fr-FR"/>
        </w:rPr>
        <w:t>Sont concernées les sommes versées pendant 10 ans à compter du 03/09/2016 et correspondant :</w:t>
      </w:r>
    </w:p>
    <w:p w14:paraId="1CA40221" w14:textId="77777777" w:rsidR="002B65BE" w:rsidRPr="00E32EF5" w:rsidRDefault="002B65BE" w:rsidP="00281D43">
      <w:pPr>
        <w:pStyle w:val="CGPC-elearning"/>
        <w:rPr>
          <w:lang w:eastAsia="fr-FR"/>
        </w:rPr>
      </w:pPr>
      <w:r w:rsidRPr="00E32EF5">
        <w:rPr>
          <w:lang w:eastAsia="fr-FR"/>
        </w:rPr>
        <w:t>aux premiers investissements dans une PME innovante ;</w:t>
      </w:r>
    </w:p>
    <w:p w14:paraId="5AF260D0" w14:textId="77777777" w:rsidR="002B65BE" w:rsidRPr="00E32EF5" w:rsidRDefault="002B65BE" w:rsidP="00281D43">
      <w:pPr>
        <w:pStyle w:val="CGPC-elearning"/>
        <w:rPr>
          <w:lang w:eastAsia="fr-FR"/>
        </w:rPr>
      </w:pPr>
      <w:r w:rsidRPr="00E32EF5">
        <w:rPr>
          <w:lang w:eastAsia="fr-FR"/>
        </w:rPr>
        <w:t>aux investissements suivants à condition que les premiers aient donné lieu à amortissement.</w:t>
      </w:r>
    </w:p>
    <w:p w14:paraId="7C58CE56" w14:textId="36C4DD74" w:rsidR="002B65BE" w:rsidRPr="00F90E72" w:rsidRDefault="002B65BE" w:rsidP="00F90E72">
      <w:pPr>
        <w:pStyle w:val="CGPC-elearning"/>
        <w:rPr>
          <w:lang w:eastAsia="fr-FR"/>
        </w:rPr>
      </w:pPr>
      <w:r w:rsidRPr="00E32EF5">
        <w:rPr>
          <w:lang w:eastAsia="fr-FR"/>
        </w:rPr>
        <w:t>Il en va de même pour les sommes versées pour la souscription de parts ou actions de FCPR, de FPCI, de sociétés de libre partenariat ou de sociétés de capital-risque, sous certaines conditions (composition de l’actif), également s’ils sont constitués dans un État Membre de l’UE ou de l’EEE. Les sociétés souscriptrices, pour pouvoir bénéficier de cet amortissement, devront en outre détenir moins de 20 % des parts de la bénéficiaire. L’entreprise bénéficiaire, elle, ne peut pas bénéficier de plus de 15 millions d’euros de versements (toutes aides confondues).</w:t>
      </w:r>
    </w:p>
    <w:p w14:paraId="75F0B492" w14:textId="77777777" w:rsidR="002B65BE" w:rsidRPr="00E32EF5" w:rsidRDefault="002B65BE" w:rsidP="00281D43">
      <w:pPr>
        <w:pStyle w:val="Titre5"/>
        <w:rPr>
          <w:u w:val="single"/>
        </w:rPr>
      </w:pPr>
      <w:r w:rsidRPr="00E32EF5">
        <w:lastRenderedPageBreak/>
        <w:t>Conditions afférentes aux PME</w:t>
      </w:r>
    </w:p>
    <w:p w14:paraId="2E4C44A5" w14:textId="77777777" w:rsidR="002B65BE" w:rsidRPr="00E32EF5" w:rsidRDefault="002B65BE" w:rsidP="00281D43">
      <w:pPr>
        <w:pStyle w:val="CGPC-elearning"/>
        <w:rPr>
          <w:lang w:eastAsia="fr-FR"/>
        </w:rPr>
      </w:pPr>
      <w:r w:rsidRPr="00E32EF5">
        <w:rPr>
          <w:lang w:eastAsia="fr-FR"/>
        </w:rPr>
        <w:t>Les PME doivent répondre aux conditions suivantes, à la date de souscription ou de rachat, sauf exception (engagement de souscriptions à la suite de rachats) :</w:t>
      </w:r>
    </w:p>
    <w:p w14:paraId="3EF22E4E" w14:textId="77777777" w:rsidR="002B65BE" w:rsidRPr="00E32EF5" w:rsidRDefault="002B65BE" w:rsidP="00281D43">
      <w:pPr>
        <w:pStyle w:val="CGPC-elearning"/>
        <w:rPr>
          <w:lang w:eastAsia="fr-FR"/>
        </w:rPr>
      </w:pPr>
      <w:r w:rsidRPr="00E32EF5">
        <w:rPr>
          <w:lang w:eastAsia="fr-FR"/>
        </w:rPr>
        <w:t>respecter la définition des PME au sens de l’UE (en terme de CA, de bilan, de salarié) ;</w:t>
      </w:r>
    </w:p>
    <w:p w14:paraId="6BE7414C" w14:textId="77777777" w:rsidR="002B65BE" w:rsidRPr="00E32EF5" w:rsidRDefault="002B65BE" w:rsidP="00281D43">
      <w:pPr>
        <w:pStyle w:val="CGPC-elearning"/>
        <w:rPr>
          <w:lang w:eastAsia="fr-FR"/>
        </w:rPr>
      </w:pPr>
      <w:r w:rsidRPr="00E32EF5">
        <w:rPr>
          <w:lang w:eastAsia="fr-FR"/>
        </w:rPr>
        <w:t>avoir leur siège dans un État Membre de l’UE ou dans un autre État partie à l’EEE ;</w:t>
      </w:r>
    </w:p>
    <w:p w14:paraId="21C0EE15" w14:textId="77777777" w:rsidR="002B65BE" w:rsidRPr="00E32EF5" w:rsidRDefault="002B65BE" w:rsidP="00281D43">
      <w:pPr>
        <w:pStyle w:val="CGPC-elearning"/>
        <w:rPr>
          <w:lang w:eastAsia="fr-FR"/>
        </w:rPr>
      </w:pPr>
      <w:r w:rsidRPr="00E32EF5">
        <w:rPr>
          <w:lang w:eastAsia="fr-FR"/>
        </w:rPr>
        <w:t>ne pas être cotées sur un marché réglementé ;</w:t>
      </w:r>
    </w:p>
    <w:p w14:paraId="017A5DA5" w14:textId="77777777" w:rsidR="002B65BE" w:rsidRPr="00E32EF5" w:rsidRDefault="002B65BE" w:rsidP="00281D43">
      <w:pPr>
        <w:pStyle w:val="CGPC-elearning"/>
        <w:rPr>
          <w:lang w:eastAsia="fr-FR"/>
        </w:rPr>
      </w:pPr>
      <w:r w:rsidRPr="00E32EF5">
        <w:rPr>
          <w:lang w:eastAsia="fr-FR"/>
        </w:rPr>
        <w:t>ne pas être en difficulté ;</w:t>
      </w:r>
    </w:p>
    <w:p w14:paraId="4E673764" w14:textId="77777777" w:rsidR="002B65BE" w:rsidRPr="00E32EF5" w:rsidRDefault="002B65BE" w:rsidP="00281D43">
      <w:pPr>
        <w:pStyle w:val="CGPC-elearning"/>
        <w:rPr>
          <w:lang w:eastAsia="fr-FR"/>
        </w:rPr>
      </w:pPr>
      <w:r w:rsidRPr="00E32EF5">
        <w:rPr>
          <w:lang w:eastAsia="fr-FR"/>
        </w:rPr>
        <w:t>être qualifiée « d’innovante » (dépenses de recherches ou reconnu par un organisme comme développant des produits présentant des avancées techniques, avec un risque d’échec) respecter </w:t>
      </w:r>
      <w:r w:rsidRPr="00E32EF5">
        <w:rPr>
          <w:b/>
          <w:bdr w:val="none" w:sz="0" w:space="0" w:color="auto" w:frame="1"/>
          <w:lang w:eastAsia="fr-FR"/>
        </w:rPr>
        <w:t>l’une des deux conditions suivantes</w:t>
      </w:r>
      <w:r w:rsidRPr="00E32EF5">
        <w:rPr>
          <w:lang w:eastAsia="fr-FR"/>
        </w:rPr>
        <w:t>:</w:t>
      </w:r>
    </w:p>
    <w:p w14:paraId="68C4D6DC" w14:textId="77777777" w:rsidR="002B65BE" w:rsidRPr="00E32EF5" w:rsidRDefault="002B65BE" w:rsidP="00281D43">
      <w:pPr>
        <w:pStyle w:val="CGPC-elearning"/>
        <w:rPr>
          <w:lang w:eastAsia="fr-FR"/>
        </w:rPr>
      </w:pPr>
      <w:r w:rsidRPr="00E32EF5">
        <w:rPr>
          <w:lang w:eastAsia="fr-FR"/>
        </w:rPr>
        <w:t>n’exercer d’activité sur </w:t>
      </w:r>
      <w:r w:rsidRPr="00E32EF5">
        <w:rPr>
          <w:b/>
          <w:bdr w:val="none" w:sz="0" w:space="0" w:color="auto" w:frame="1"/>
          <w:lang w:eastAsia="fr-FR"/>
        </w:rPr>
        <w:t>aucun marché</w:t>
      </w:r>
      <w:r w:rsidRPr="00E32EF5">
        <w:rPr>
          <w:lang w:eastAsia="fr-FR"/>
        </w:rPr>
        <w:t>(aucune vente commerciale depuis sa création),</w:t>
      </w:r>
    </w:p>
    <w:p w14:paraId="6273B1ED" w14:textId="4BBFD5DD" w:rsidR="002B65BE" w:rsidRPr="00E32EF5" w:rsidRDefault="002B65BE" w:rsidP="00281D43">
      <w:pPr>
        <w:pStyle w:val="CGPC-elearning"/>
        <w:rPr>
          <w:lang w:eastAsia="fr-FR"/>
        </w:rPr>
      </w:pPr>
      <w:r w:rsidRPr="00E32EF5">
        <w:rPr>
          <w:lang w:eastAsia="fr-FR"/>
        </w:rPr>
        <w:t>soit exercer depuis </w:t>
      </w:r>
      <w:r w:rsidRPr="00E32EF5">
        <w:rPr>
          <w:b/>
          <w:bdr w:val="none" w:sz="0" w:space="0" w:color="auto" w:frame="1"/>
          <w:lang w:eastAsia="fr-FR"/>
        </w:rPr>
        <w:t>moins de 10 ans</w:t>
      </w:r>
      <w:r w:rsidR="00281D43">
        <w:rPr>
          <w:b/>
          <w:bdr w:val="none" w:sz="0" w:space="0" w:color="auto" w:frame="1"/>
          <w:lang w:eastAsia="fr-FR"/>
        </w:rPr>
        <w:t xml:space="preserve"> </w:t>
      </w:r>
      <w:r w:rsidRPr="00E32EF5">
        <w:rPr>
          <w:lang w:eastAsia="fr-FR"/>
        </w:rPr>
        <w:t>après sa première vente. Dans ce second cas, si le caractère « innovant » est reconnu par un organisme, il est également chargé de définir la date de la première vente commerciale. Si l’entreprise ne passe pas par cette procédure, la date est réputée celle de l’ouverture de l’exercice suivant celui au cours duquel le CA a dépassé 250 000 € pour la première fois.</w:t>
      </w:r>
    </w:p>
    <w:p w14:paraId="0B7DC28B" w14:textId="77777777" w:rsidR="002B65BE" w:rsidRPr="0036482C" w:rsidRDefault="002B65BE" w:rsidP="0036482C">
      <w:r w:rsidRPr="0036482C">
        <w:t> </w:t>
      </w:r>
    </w:p>
    <w:p w14:paraId="729D021E" w14:textId="77777777" w:rsidR="002B65BE" w:rsidRPr="00E32EF5" w:rsidRDefault="002B65BE" w:rsidP="00281D43">
      <w:pPr>
        <w:pStyle w:val="Titre4"/>
        <w:rPr>
          <w:rFonts w:eastAsia="Times New Roman"/>
          <w:lang w:eastAsia="fr-FR"/>
        </w:rPr>
      </w:pPr>
      <w:r w:rsidRPr="00E32EF5">
        <w:rPr>
          <w:rFonts w:eastAsia="Times New Roman"/>
          <w:lang w:eastAsia="fr-FR"/>
        </w:rPr>
        <w:t>Réduction d’impôt pour mise à disposition d’une flotte de vélos</w:t>
      </w:r>
    </w:p>
    <w:p w14:paraId="0C673EE0" w14:textId="77777777" w:rsidR="002B65BE" w:rsidRPr="00E32EF5" w:rsidRDefault="002B65BE" w:rsidP="00281D43">
      <w:pPr>
        <w:pStyle w:val="CGPC-elearning"/>
        <w:rPr>
          <w:lang w:eastAsia="fr-FR"/>
        </w:rPr>
      </w:pPr>
      <w:r w:rsidRPr="00E32EF5">
        <w:rPr>
          <w:lang w:eastAsia="fr-FR"/>
        </w:rPr>
        <w:t>Afin de lutter contre la pollution, la loi relative à la transition énergétique pour la croissance verte a introduit une nouvelle réduction d’impôt en faveur des entreprises soumises à l’impôt sur les sociétés, à compter du 1</w:t>
      </w:r>
      <w:r w:rsidRPr="00E32EF5">
        <w:rPr>
          <w:bdr w:val="none" w:sz="0" w:space="0" w:color="auto" w:frame="1"/>
          <w:vertAlign w:val="superscript"/>
          <w:lang w:eastAsia="fr-FR"/>
        </w:rPr>
        <w:t>er</w:t>
      </w:r>
      <w:r w:rsidRPr="00E32EF5">
        <w:rPr>
          <w:lang w:eastAsia="fr-FR"/>
        </w:rPr>
        <w:t> janvier 2016.</w:t>
      </w:r>
    </w:p>
    <w:p w14:paraId="6FE3C228" w14:textId="77777777" w:rsidR="002B65BE" w:rsidRPr="00E32EF5" w:rsidRDefault="002B65BE" w:rsidP="00281D43">
      <w:pPr>
        <w:pStyle w:val="CGPC-elearning"/>
        <w:rPr>
          <w:lang w:eastAsia="fr-FR"/>
        </w:rPr>
      </w:pPr>
      <w:r w:rsidRPr="00E32EF5">
        <w:rPr>
          <w:lang w:eastAsia="fr-FR"/>
        </w:rPr>
        <w:t>Celle-ci bénéficie aux entreprises mettant gratuitement à la disposition de leurs salariés une flotte de vélos, pour leurs déplacements entre le domicile et le travail.</w:t>
      </w:r>
    </w:p>
    <w:p w14:paraId="0F9C6DDF" w14:textId="77777777" w:rsidR="002B65BE" w:rsidRPr="00E32EF5" w:rsidRDefault="002B65BE" w:rsidP="00281D43">
      <w:pPr>
        <w:pStyle w:val="CGPC-elearning"/>
        <w:rPr>
          <w:lang w:eastAsia="fr-FR"/>
        </w:rPr>
      </w:pPr>
      <w:r w:rsidRPr="00E32EF5">
        <w:rPr>
          <w:lang w:eastAsia="fr-FR"/>
        </w:rPr>
        <w:t>La réduction d’impôt est égale aux frais générés par la mise à disposition de ladite flotte dans la limite de 25 % de son prix d’achat. Elle s’impute sur l’IS du par l’entreprise au titre de l’exercice au cours duquel les frais ont été exposés. L’excédent éventuel non imputé n’est ni restituable, ni reportable.</w:t>
      </w:r>
    </w:p>
    <w:p w14:paraId="7F2FC8DE" w14:textId="123A707D" w:rsidR="002B65BE" w:rsidRDefault="00C6408A" w:rsidP="002B65BE">
      <w:pPr>
        <w:spacing w:after="0" w:line="360" w:lineRule="atLeast"/>
        <w:textAlignment w:val="baseline"/>
        <w:rPr>
          <w:rFonts w:eastAsia="Times New Roman" w:cs="Open Sans"/>
          <w:color w:val="666666"/>
          <w:sz w:val="20"/>
          <w:szCs w:val="20"/>
          <w:lang w:eastAsia="fr-FR"/>
        </w:rPr>
      </w:pPr>
      <w:r>
        <w:rPr>
          <w:rFonts w:eastAsia="Times New Roman" w:cs="Open Sans"/>
          <w:noProof/>
          <w:color w:val="666666"/>
          <w:sz w:val="20"/>
          <w:szCs w:val="20"/>
          <w:lang w:eastAsia="fr-FR"/>
          <w14:ligatures w14:val="standardContextual"/>
        </w:rPr>
        <w:lastRenderedPageBreak/>
        <mc:AlternateContent>
          <mc:Choice Requires="wps">
            <w:drawing>
              <wp:anchor distT="0" distB="0" distL="114300" distR="114300" simplePos="0" relativeHeight="251665408" behindDoc="1" locked="0" layoutInCell="1" allowOverlap="1" wp14:anchorId="09F13C7F" wp14:editId="715CC97D">
                <wp:simplePos x="0" y="0"/>
                <wp:positionH relativeFrom="column">
                  <wp:posOffset>-1105165</wp:posOffset>
                </wp:positionH>
                <wp:positionV relativeFrom="paragraph">
                  <wp:posOffset>-218345</wp:posOffset>
                </wp:positionV>
                <wp:extent cx="15421970" cy="8775510"/>
                <wp:effectExtent l="0" t="0" r="27940" b="26035"/>
                <wp:wrapNone/>
                <wp:docPr id="132578940" name="Rectangle 7"/>
                <wp:cNvGraphicFramePr/>
                <a:graphic xmlns:a="http://schemas.openxmlformats.org/drawingml/2006/main">
                  <a:graphicData uri="http://schemas.microsoft.com/office/word/2010/wordprocessingShape">
                    <wps:wsp>
                      <wps:cNvSpPr/>
                      <wps:spPr>
                        <a:xfrm>
                          <a:off x="0" y="0"/>
                          <a:ext cx="15421970" cy="877551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D3D0F9" id="Rectangle 7" o:spid="_x0000_s1026" style="position:absolute;margin-left:-87pt;margin-top:-17.2pt;width:1214.35pt;height:691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" fillcolor="#4472c4 [3204]" strokecolor="#09101d [484]" strokeweight="1pt"/>
            </w:pict>
          </mc:Fallback>
        </mc:AlternateContent>
      </w:r>
      <w:r w:rsidR="002B65BE" w:rsidRPr="00E32EF5">
        <w:rPr>
          <w:rFonts w:eastAsia="Times New Roman" w:cs="Open Sans"/>
          <w:color w:val="666666"/>
          <w:sz w:val="20"/>
          <w:szCs w:val="20"/>
          <w:lang w:eastAsia="fr-FR"/>
        </w:rPr>
        <w:t> </w:t>
      </w:r>
    </w:p>
    <w:p w14:paraId="197EBEBC" w14:textId="77777777" w:rsidR="00C6408A" w:rsidRDefault="00C6408A" w:rsidP="00C6408A">
      <w:pPr>
        <w:pStyle w:val="CGPC-elearning"/>
        <w:rPr>
          <w:lang w:eastAsia="fr-FR"/>
        </w:rPr>
      </w:pPr>
    </w:p>
    <w:p w14:paraId="62C43027" w14:textId="77777777" w:rsidR="00C6408A" w:rsidRDefault="00C6408A" w:rsidP="00C6408A">
      <w:pPr>
        <w:pStyle w:val="CGPC-elearning"/>
        <w:rPr>
          <w:lang w:eastAsia="fr-FR"/>
        </w:rPr>
      </w:pPr>
    </w:p>
    <w:p w14:paraId="6C55A608" w14:textId="77777777" w:rsidR="00C6408A" w:rsidRDefault="00C6408A" w:rsidP="00C6408A">
      <w:pPr>
        <w:pStyle w:val="CGPC-elearning"/>
        <w:rPr>
          <w:lang w:eastAsia="fr-FR"/>
        </w:rPr>
      </w:pPr>
    </w:p>
    <w:p w14:paraId="2E11F282" w14:textId="77777777" w:rsidR="00C6408A" w:rsidRDefault="00C6408A" w:rsidP="00C6408A">
      <w:pPr>
        <w:pStyle w:val="CGPC-elearning"/>
        <w:rPr>
          <w:lang w:eastAsia="fr-FR"/>
        </w:rPr>
      </w:pPr>
    </w:p>
    <w:p w14:paraId="3AE86F76" w14:textId="77777777" w:rsidR="00C6408A" w:rsidRDefault="00C6408A" w:rsidP="00C6408A">
      <w:pPr>
        <w:pStyle w:val="CGPC-elearning"/>
        <w:rPr>
          <w:lang w:eastAsia="fr-FR"/>
        </w:rPr>
      </w:pPr>
    </w:p>
    <w:p w14:paraId="299C637C" w14:textId="77777777" w:rsidR="00C6408A" w:rsidRDefault="00C6408A" w:rsidP="00C6408A">
      <w:pPr>
        <w:pStyle w:val="CGPC-elearning"/>
        <w:rPr>
          <w:lang w:eastAsia="fr-FR"/>
        </w:rPr>
      </w:pPr>
    </w:p>
    <w:p w14:paraId="1CA3AB98" w14:textId="77777777" w:rsidR="00C6408A" w:rsidRDefault="00C6408A" w:rsidP="00C6408A">
      <w:pPr>
        <w:pStyle w:val="CGPC-elearning"/>
        <w:rPr>
          <w:lang w:eastAsia="fr-FR"/>
        </w:rPr>
      </w:pPr>
    </w:p>
    <w:p w14:paraId="2179D841" w14:textId="77777777" w:rsidR="00C6408A" w:rsidRDefault="00C6408A" w:rsidP="00C6408A">
      <w:pPr>
        <w:pStyle w:val="CGPC-elearning"/>
        <w:rPr>
          <w:lang w:eastAsia="fr-FR"/>
        </w:rPr>
      </w:pPr>
    </w:p>
    <w:p w14:paraId="61226EFF" w14:textId="77777777" w:rsidR="00C6408A" w:rsidRPr="00C6408A" w:rsidRDefault="00C6408A" w:rsidP="00C6408A">
      <w:pPr>
        <w:pStyle w:val="Titre1"/>
      </w:pPr>
      <w:bookmarkStart w:id="10" w:name="_Toc158208033"/>
      <w:r w:rsidRPr="00C6408A">
        <w:t>Contrôle fiscal et sanctions</w:t>
      </w:r>
      <w:bookmarkEnd w:id="10"/>
    </w:p>
    <w:p w14:paraId="2C876460" w14:textId="77777777" w:rsidR="00C6408A" w:rsidRPr="00C6408A" w:rsidRDefault="00C6408A" w:rsidP="00C6408A">
      <w:pPr>
        <w:pStyle w:val="CGPC-elearning"/>
        <w:rPr>
          <w:lang w:eastAsia="fr-FR"/>
        </w:rPr>
      </w:pPr>
    </w:p>
    <w:p w14:paraId="33CC730F" w14:textId="580350AA" w:rsidR="0036482C" w:rsidRDefault="0036482C">
      <w:pPr>
        <w:jc w:val="left"/>
        <w:rPr>
          <w:b/>
          <w:bCs/>
        </w:rPr>
      </w:pPr>
      <w:r>
        <w:rPr>
          <w:b/>
          <w:bCs/>
        </w:rPr>
        <w:br w:type="page"/>
      </w:r>
    </w:p>
    <w:p w14:paraId="2347188C" w14:textId="77777777" w:rsidR="00C6408A" w:rsidRPr="00C6408A" w:rsidRDefault="00C6408A" w:rsidP="00C6408A">
      <w:pPr>
        <w:pStyle w:val="CGPC-elearning"/>
      </w:pPr>
    </w:p>
    <w:p w14:paraId="6D8C6822" w14:textId="23D0584F" w:rsidR="002B65BE" w:rsidRPr="00E32EF5" w:rsidRDefault="0036482C" w:rsidP="00C6408A">
      <w:pPr>
        <w:pStyle w:val="Titre2"/>
        <w:numPr>
          <w:ilvl w:val="0"/>
          <w:numId w:val="47"/>
        </w:numPr>
      </w:pPr>
      <w:bookmarkStart w:id="11" w:name="_Toc158208034"/>
      <w:r w:rsidRPr="00E32EF5">
        <w:t>Examen de comptabilité</w:t>
      </w:r>
      <w:bookmarkEnd w:id="11"/>
    </w:p>
    <w:p w14:paraId="4299A988" w14:textId="77777777" w:rsidR="00281D43" w:rsidRDefault="00281D43" w:rsidP="002B65BE">
      <w:pPr>
        <w:spacing w:after="0" w:line="360" w:lineRule="atLeast"/>
        <w:textAlignment w:val="baseline"/>
        <w:rPr>
          <w:rFonts w:eastAsia="Times New Roman" w:cs="Open Sans"/>
          <w:color w:val="666666"/>
          <w:sz w:val="20"/>
          <w:szCs w:val="20"/>
          <w:lang w:eastAsia="fr-FR"/>
        </w:rPr>
      </w:pPr>
    </w:p>
    <w:p w14:paraId="3E83E26D" w14:textId="3BC65438" w:rsidR="002B65BE" w:rsidRPr="00E32EF5" w:rsidRDefault="002B65BE" w:rsidP="00281D43">
      <w:pPr>
        <w:pStyle w:val="CGPC-elearning"/>
        <w:rPr>
          <w:lang w:eastAsia="fr-FR"/>
        </w:rPr>
      </w:pPr>
      <w:r w:rsidRPr="00E32EF5">
        <w:rPr>
          <w:lang w:eastAsia="fr-FR"/>
        </w:rPr>
        <w:t>L’examen de comptabilité permet à l’administration de réaliser des contrôles fiscaux à distance à partir de la comptabilité remise par l’entreprise sous forme dématérialisée (fichier des écritures comptables (FEC)).</w:t>
      </w:r>
    </w:p>
    <w:p w14:paraId="64925606" w14:textId="77777777" w:rsidR="002B65BE" w:rsidRPr="00E32EF5" w:rsidRDefault="002B65BE" w:rsidP="00281D43">
      <w:pPr>
        <w:pStyle w:val="CGPC-elearning"/>
        <w:rPr>
          <w:lang w:eastAsia="fr-FR"/>
        </w:rPr>
      </w:pPr>
      <w:r w:rsidRPr="00E32EF5">
        <w:rPr>
          <w:lang w:eastAsia="fr-FR"/>
        </w:rPr>
        <w:t>Elle comporte des garanties équivalentes à celles de la vérification de comptabilité sur place, telles que :</w:t>
      </w:r>
    </w:p>
    <w:p w14:paraId="5CFB09A2" w14:textId="77777777" w:rsidR="002B65BE" w:rsidRPr="00E32EF5" w:rsidRDefault="002B65BE" w:rsidP="00281D43">
      <w:pPr>
        <w:pStyle w:val="CGPC-elearning"/>
        <w:rPr>
          <w:lang w:eastAsia="fr-FR"/>
        </w:rPr>
      </w:pPr>
      <w:r w:rsidRPr="00E32EF5">
        <w:rPr>
          <w:lang w:eastAsia="fr-FR"/>
        </w:rPr>
        <w:t>le recours au supérieur hiérarchique de l’agent chargé du contrôle en cas de désaccord ;</w:t>
      </w:r>
    </w:p>
    <w:p w14:paraId="25AD6372" w14:textId="77777777" w:rsidR="002B65BE" w:rsidRPr="00E32EF5" w:rsidRDefault="002B65BE" w:rsidP="00281D43">
      <w:pPr>
        <w:pStyle w:val="CGPC-elearning"/>
        <w:rPr>
          <w:lang w:eastAsia="fr-FR"/>
        </w:rPr>
      </w:pPr>
      <w:r w:rsidRPr="00E32EF5">
        <w:rPr>
          <w:lang w:eastAsia="fr-FR"/>
        </w:rPr>
        <w:t>la saisine de la commission des impôts directs et des taxes sur le chiffre d’affaires en cas de désaccord sur les rehaussements ;</w:t>
      </w:r>
    </w:p>
    <w:p w14:paraId="07CCCCDB" w14:textId="77777777" w:rsidR="002B65BE" w:rsidRPr="00E32EF5" w:rsidRDefault="002B65BE" w:rsidP="00281D43">
      <w:pPr>
        <w:pStyle w:val="CGPC-elearning"/>
        <w:rPr>
          <w:lang w:eastAsia="fr-FR"/>
        </w:rPr>
      </w:pPr>
      <w:r w:rsidRPr="00E32EF5">
        <w:rPr>
          <w:lang w:eastAsia="fr-FR"/>
        </w:rPr>
        <w:t>le non-renouvellement de la procédure de contrôle d’impôts et taxes déjà contrôlés pour une période donnée ;</w:t>
      </w:r>
    </w:p>
    <w:p w14:paraId="56DBA920" w14:textId="77777777" w:rsidR="002B65BE" w:rsidRPr="00E32EF5" w:rsidRDefault="002B65BE" w:rsidP="00281D43">
      <w:pPr>
        <w:pStyle w:val="CGPC-elearning"/>
        <w:rPr>
          <w:lang w:eastAsia="fr-FR"/>
        </w:rPr>
      </w:pPr>
      <w:r w:rsidRPr="00E32EF5">
        <w:rPr>
          <w:lang w:eastAsia="fr-FR"/>
        </w:rPr>
        <w:t>la mise en place d’une procédure de régularisation spontanée dans les 30 jours suivant la réception de la proposition de rectification des déclarations.</w:t>
      </w:r>
    </w:p>
    <w:p w14:paraId="43F419F9" w14:textId="77777777" w:rsidR="002B65BE" w:rsidRPr="00E32EF5" w:rsidRDefault="002B65BE" w:rsidP="00281D43">
      <w:pPr>
        <w:pStyle w:val="CGPC-elearning"/>
        <w:rPr>
          <w:lang w:eastAsia="fr-FR"/>
        </w:rPr>
      </w:pPr>
      <w:r w:rsidRPr="00E32EF5">
        <w:rPr>
          <w:lang w:eastAsia="fr-FR"/>
        </w:rPr>
        <w:t>Le contribuable doit être informé en amont par l’envoi d’un avis d’examen de comptabilité, précisant expressément qu’il peut se faire assister par un conseil de son choix.</w:t>
      </w:r>
    </w:p>
    <w:p w14:paraId="06954E23" w14:textId="77777777" w:rsidR="002B65BE" w:rsidRPr="00E32EF5" w:rsidRDefault="002B65BE" w:rsidP="00281D43">
      <w:pPr>
        <w:pStyle w:val="CGPC-elearning"/>
        <w:rPr>
          <w:lang w:eastAsia="fr-FR"/>
        </w:rPr>
      </w:pPr>
      <w:r w:rsidRPr="00E32EF5">
        <w:rPr>
          <w:lang w:eastAsia="fr-FR"/>
        </w:rPr>
        <w:t>Une fois cet avis reçu, l’entreprise dispose de 15 jours pour transmettre à l’administration une copie de son FEC.</w:t>
      </w:r>
    </w:p>
    <w:p w14:paraId="28E33EAD" w14:textId="77777777" w:rsidR="002B65BE" w:rsidRPr="00E32EF5" w:rsidRDefault="002B65BE" w:rsidP="00281D43">
      <w:pPr>
        <w:pStyle w:val="CGPC-elearning"/>
        <w:rPr>
          <w:lang w:eastAsia="fr-FR"/>
        </w:rPr>
      </w:pPr>
      <w:r w:rsidRPr="00E32EF5">
        <w:rPr>
          <w:lang w:eastAsia="fr-FR"/>
        </w:rPr>
        <w:t>Il est préconisé à l’entreprise de générer le FEC à la clôture de chaque exercice.</w:t>
      </w:r>
    </w:p>
    <w:p w14:paraId="30E841E6" w14:textId="77777777" w:rsidR="002B65BE" w:rsidRPr="00E32EF5" w:rsidRDefault="002B65BE" w:rsidP="00281D43">
      <w:pPr>
        <w:pStyle w:val="CGPC-elearning"/>
        <w:rPr>
          <w:lang w:eastAsia="fr-FR"/>
        </w:rPr>
      </w:pPr>
      <w:r w:rsidRPr="00E32EF5">
        <w:rPr>
          <w:lang w:eastAsia="fr-FR"/>
        </w:rPr>
        <w:t>L’administration fiscale a un délai de 6 mois pour effectuer le contrôle, délai au cours duquel elle échange avec l’entreprise, par écrit ou par oral.</w:t>
      </w:r>
    </w:p>
    <w:p w14:paraId="5934E03B" w14:textId="77777777" w:rsidR="002B65BE" w:rsidRPr="00E32EF5" w:rsidRDefault="002B65BE" w:rsidP="00281D43">
      <w:pPr>
        <w:pStyle w:val="CGPC-elearning"/>
        <w:rPr>
          <w:lang w:eastAsia="fr-FR"/>
        </w:rPr>
      </w:pPr>
      <w:r w:rsidRPr="00E32EF5">
        <w:rPr>
          <w:lang w:eastAsia="fr-FR"/>
        </w:rPr>
        <w:t>L’administration adresse ensuite à l’entreprise :</w:t>
      </w:r>
    </w:p>
    <w:p w14:paraId="5C8B22CE" w14:textId="77777777" w:rsidR="002B65BE" w:rsidRPr="00E32EF5" w:rsidRDefault="002B65BE" w:rsidP="00281D43">
      <w:pPr>
        <w:pStyle w:val="CGPC-elearning"/>
        <w:rPr>
          <w:lang w:eastAsia="fr-FR"/>
        </w:rPr>
      </w:pPr>
      <w:r w:rsidRPr="00E32EF5">
        <w:rPr>
          <w:lang w:eastAsia="fr-FR"/>
        </w:rPr>
        <w:t>une proposition de rectification en cas d’irrégularités ;</w:t>
      </w:r>
    </w:p>
    <w:p w14:paraId="60C31DD6" w14:textId="77777777" w:rsidR="002B65BE" w:rsidRPr="00E32EF5" w:rsidRDefault="002B65BE" w:rsidP="00281D43">
      <w:pPr>
        <w:pStyle w:val="CGPC-elearning"/>
        <w:rPr>
          <w:lang w:eastAsia="fr-FR"/>
        </w:rPr>
      </w:pPr>
      <w:r w:rsidRPr="00E32EF5">
        <w:rPr>
          <w:lang w:eastAsia="fr-FR"/>
        </w:rPr>
        <w:t>ou un avis d’absence de rehaussement.</w:t>
      </w:r>
    </w:p>
    <w:p w14:paraId="385C9540" w14:textId="77777777" w:rsidR="002B65BE" w:rsidRPr="0036482C" w:rsidRDefault="002B65BE" w:rsidP="0036482C">
      <w:r w:rsidRPr="0036482C">
        <w:t> </w:t>
      </w:r>
    </w:p>
    <w:p w14:paraId="52D6916A" w14:textId="12E314A8" w:rsidR="002B65BE" w:rsidRPr="00E32EF5" w:rsidRDefault="0036482C" w:rsidP="00C6408A">
      <w:pPr>
        <w:pStyle w:val="Titre2"/>
      </w:pPr>
      <w:bookmarkStart w:id="12" w:name="_Toc158208035"/>
      <w:r w:rsidRPr="00E32EF5">
        <w:lastRenderedPageBreak/>
        <w:t>Garanties</w:t>
      </w:r>
      <w:bookmarkEnd w:id="12"/>
    </w:p>
    <w:p w14:paraId="593A932B" w14:textId="77777777" w:rsidR="00281D43" w:rsidRDefault="00281D43" w:rsidP="00281D43">
      <w:pPr>
        <w:pStyle w:val="CGPC-elearning"/>
        <w:rPr>
          <w:color w:val="666666"/>
          <w:lang w:eastAsia="fr-FR"/>
        </w:rPr>
      </w:pPr>
    </w:p>
    <w:p w14:paraId="0C956F32" w14:textId="44F72B07" w:rsidR="002B65BE" w:rsidRPr="00E32EF5" w:rsidRDefault="002B65BE" w:rsidP="00281D43">
      <w:pPr>
        <w:pStyle w:val="CGPC-elearning"/>
        <w:rPr>
          <w:color w:val="666666"/>
          <w:lang w:eastAsia="fr-FR"/>
        </w:rPr>
      </w:pPr>
      <w:r w:rsidRPr="00E32EF5">
        <w:rPr>
          <w:color w:val="666666"/>
          <w:lang w:eastAsia="fr-FR"/>
        </w:rPr>
        <w:t>L’entreprise est informée de l’existence </w:t>
      </w:r>
      <w:hyperlink r:id="rId10" w:history="1">
        <w:r w:rsidRPr="00E32EF5">
          <w:rPr>
            <w:color w:val="2C498B"/>
            <w:u w:val="single"/>
            <w:bdr w:val="none" w:sz="0" w:space="0" w:color="auto" w:frame="1"/>
            <w:lang w:eastAsia="fr-FR"/>
          </w:rPr>
          <w:t>de la charte des droits et obligations du contribuable vérifié</w:t>
        </w:r>
      </w:hyperlink>
      <w:r w:rsidRPr="00E32EF5">
        <w:rPr>
          <w:color w:val="666666"/>
          <w:lang w:eastAsia="fr-FR"/>
        </w:rPr>
        <w:t> , disponible en ligne et qui lui permet de connaître ses garanties lors du contrôle.</w:t>
      </w:r>
    </w:p>
    <w:p w14:paraId="5BD782EA" w14:textId="77777777" w:rsidR="002B65BE" w:rsidRPr="00E32EF5" w:rsidRDefault="002B65BE" w:rsidP="00281D43">
      <w:pPr>
        <w:pStyle w:val="CGPC-elearning"/>
        <w:rPr>
          <w:color w:val="666666"/>
          <w:lang w:eastAsia="fr-FR"/>
        </w:rPr>
      </w:pPr>
      <w:r w:rsidRPr="00E32EF5">
        <w:rPr>
          <w:color w:val="666666"/>
          <w:lang w:eastAsia="fr-FR"/>
        </w:rPr>
        <w:t>Elle peut ainsi :</w:t>
      </w:r>
    </w:p>
    <w:p w14:paraId="75C63C39" w14:textId="77777777" w:rsidR="002B65BE" w:rsidRPr="00E32EF5" w:rsidRDefault="002B65BE" w:rsidP="00281D43">
      <w:pPr>
        <w:pStyle w:val="CGPC-elearning"/>
        <w:rPr>
          <w:color w:val="666666"/>
          <w:lang w:eastAsia="fr-FR"/>
        </w:rPr>
      </w:pPr>
      <w:r w:rsidRPr="00E32EF5">
        <w:rPr>
          <w:color w:val="666666"/>
          <w:lang w:eastAsia="fr-FR"/>
        </w:rPr>
        <w:t>faire appel au supérieur hiérarchique de l’agent chargé du contrôle en cas de désaccord avec le maintien des rectifications envisagées ;</w:t>
      </w:r>
    </w:p>
    <w:p w14:paraId="51014227" w14:textId="77777777" w:rsidR="002B65BE" w:rsidRPr="00E32EF5" w:rsidRDefault="002B65BE" w:rsidP="00281D43">
      <w:pPr>
        <w:pStyle w:val="CGPC-elearning"/>
        <w:rPr>
          <w:color w:val="666666"/>
          <w:lang w:eastAsia="fr-FR"/>
        </w:rPr>
      </w:pPr>
      <w:r w:rsidRPr="00E32EF5">
        <w:rPr>
          <w:color w:val="666666"/>
          <w:lang w:eastAsia="fr-FR"/>
        </w:rPr>
        <w:t>saisir la commission des impôts directs et des taxes sur le chiffre d’affaires afin de lui soumettre le désaccord, en cas d’application de la procédure de rectification contradictoire ;</w:t>
      </w:r>
    </w:p>
    <w:p w14:paraId="3853BE4A" w14:textId="77777777" w:rsidR="002B65BE" w:rsidRPr="00E32EF5" w:rsidRDefault="002B65BE" w:rsidP="00281D43">
      <w:pPr>
        <w:pStyle w:val="CGPC-elearning"/>
        <w:rPr>
          <w:color w:val="666666"/>
          <w:lang w:eastAsia="fr-FR"/>
        </w:rPr>
      </w:pPr>
      <w:r w:rsidRPr="00E32EF5">
        <w:rPr>
          <w:color w:val="666666"/>
          <w:lang w:eastAsia="fr-FR"/>
        </w:rPr>
        <w:t>demander, en cas de redressement, la mise en œuvre de la procédure de régularisation spontanée, dans les 30 jours suivant la réception de la proposition de rectification. Cette procédure permet de corriger les anomalies des déclarations, moyennant le paiement montant dû au titre de l’intérêt de retard réduit de 30 % par mois.</w:t>
      </w:r>
    </w:p>
    <w:p w14:paraId="7FB7FAD7" w14:textId="77777777" w:rsidR="002B65BE" w:rsidRPr="00E32EF5" w:rsidRDefault="002B65BE" w:rsidP="00281D43">
      <w:pPr>
        <w:pStyle w:val="CGPC-elearning"/>
        <w:rPr>
          <w:color w:val="666666"/>
          <w:lang w:eastAsia="fr-FR"/>
        </w:rPr>
      </w:pPr>
      <w:r w:rsidRPr="00E32EF5">
        <w:rPr>
          <w:color w:val="666666"/>
          <w:lang w:eastAsia="fr-FR"/>
        </w:rPr>
        <w:t>L’administration ne peut pas procéder à un nouvel examen de comptabilité (ou à une vérification de comptabilité) au titre des mêmes impôts ou taxes pour la même période.</w:t>
      </w:r>
    </w:p>
    <w:p w14:paraId="501F01C4" w14:textId="77777777" w:rsidR="002B65BE" w:rsidRPr="00E32EF5" w:rsidRDefault="002B65BE" w:rsidP="00281D43">
      <w:pPr>
        <w:pStyle w:val="CGPC-elearning"/>
        <w:rPr>
          <w:color w:val="666666"/>
          <w:lang w:eastAsia="fr-FR"/>
        </w:rPr>
      </w:pPr>
      <w:r w:rsidRPr="00E32EF5">
        <w:rPr>
          <w:color w:val="666666"/>
          <w:lang w:eastAsia="fr-FR"/>
        </w:rPr>
        <w:t>Si l’entreprise ne respecte pas le délai ou les modalités de transmission du fichier, l’administration informe le contribuable de l’annulation de la procédure d’examen de comptabilité, et de l’application de l’amende de 5000 € .</w:t>
      </w:r>
    </w:p>
    <w:p w14:paraId="50939930" w14:textId="77777777" w:rsidR="002B65BE" w:rsidRPr="00E32EF5" w:rsidRDefault="002B65BE" w:rsidP="00281D43">
      <w:pPr>
        <w:pStyle w:val="CGPC-elearning"/>
        <w:rPr>
          <w:color w:val="666666"/>
          <w:lang w:eastAsia="fr-FR"/>
        </w:rPr>
      </w:pPr>
      <w:r w:rsidRPr="00E32EF5">
        <w:rPr>
          <w:color w:val="666666"/>
          <w:lang w:eastAsia="fr-FR"/>
        </w:rPr>
        <w:t>Par ailleurs, si l’entreprise ne respecte pas son obligation de présenter sa comptabilité par la remise des FEC, l’administration peut procéder à une vérification de comptabilité dans les locaux de l’entreprise.</w:t>
      </w:r>
    </w:p>
    <w:p w14:paraId="4968B03C" w14:textId="77777777" w:rsidR="002B65BE" w:rsidRPr="00E32EF5" w:rsidRDefault="002B65BE" w:rsidP="00281D43">
      <w:pPr>
        <w:pStyle w:val="CGPC-elearning"/>
        <w:rPr>
          <w:color w:val="666666"/>
          <w:lang w:eastAsia="fr-FR"/>
        </w:rPr>
      </w:pPr>
      <w:r w:rsidRPr="00E32EF5">
        <w:rPr>
          <w:b/>
          <w:i/>
          <w:iCs/>
          <w:color w:val="666666"/>
          <w:bdr w:val="none" w:sz="0" w:space="0" w:color="auto" w:frame="1"/>
          <w:lang w:eastAsia="fr-FR"/>
        </w:rPr>
        <w:t> </w:t>
      </w:r>
    </w:p>
    <w:p w14:paraId="503DD9EB" w14:textId="14E9266B" w:rsidR="002B65BE" w:rsidRPr="00E32EF5" w:rsidRDefault="0036482C" w:rsidP="00C6408A">
      <w:pPr>
        <w:pStyle w:val="Titre2"/>
      </w:pPr>
      <w:bookmarkStart w:id="13" w:name="_Toc158208036"/>
      <w:r w:rsidRPr="00E32EF5">
        <w:t>Vérification de comptabilité</w:t>
      </w:r>
      <w:bookmarkEnd w:id="13"/>
    </w:p>
    <w:p w14:paraId="379D5BF5" w14:textId="77777777" w:rsidR="00281D43" w:rsidRDefault="00281D43" w:rsidP="002B65BE">
      <w:pPr>
        <w:spacing w:after="0" w:line="360" w:lineRule="atLeast"/>
        <w:textAlignment w:val="baseline"/>
        <w:rPr>
          <w:rFonts w:eastAsia="Times New Roman" w:cs="Open Sans"/>
          <w:color w:val="666666"/>
          <w:sz w:val="20"/>
          <w:szCs w:val="20"/>
          <w:lang w:eastAsia="fr-FR"/>
        </w:rPr>
      </w:pPr>
    </w:p>
    <w:p w14:paraId="6FDDEA54" w14:textId="3DB72F46" w:rsidR="002B65BE" w:rsidRPr="00E32EF5" w:rsidRDefault="002B65BE" w:rsidP="00281D43">
      <w:pPr>
        <w:pStyle w:val="CGPC-elearning"/>
        <w:rPr>
          <w:lang w:eastAsia="fr-FR"/>
        </w:rPr>
      </w:pPr>
      <w:r w:rsidRPr="00E32EF5">
        <w:rPr>
          <w:lang w:eastAsia="fr-FR"/>
        </w:rPr>
        <w:t>La vérification de comptabilité permet d’examiner la comptabilité dans les locaux d’une entreprise, en la confrontant à certaines données de fait ou matérielles pour s’assurer de l’exactitude et de la sincérité des déclarations souscrites.</w:t>
      </w:r>
    </w:p>
    <w:p w14:paraId="2F73902D" w14:textId="77777777" w:rsidR="002B65BE" w:rsidRPr="00E32EF5" w:rsidRDefault="002B65BE" w:rsidP="00281D43">
      <w:pPr>
        <w:pStyle w:val="CGPC-elearning"/>
        <w:rPr>
          <w:lang w:eastAsia="fr-FR"/>
        </w:rPr>
      </w:pPr>
      <w:r w:rsidRPr="00E32EF5">
        <w:rPr>
          <w:lang w:eastAsia="fr-FR"/>
        </w:rPr>
        <w:t>Le contribuable doit en être informé, généralement 15 jours avant, par l’envoi d’un avis de vérification, soit en recommandé avec avis de réception, soit remis en mains propres.</w:t>
      </w:r>
    </w:p>
    <w:p w14:paraId="7F6EEB55" w14:textId="77777777" w:rsidR="002B65BE" w:rsidRPr="00E32EF5" w:rsidRDefault="002B65BE" w:rsidP="00281D43">
      <w:pPr>
        <w:pStyle w:val="CGPC-elearning"/>
        <w:rPr>
          <w:lang w:eastAsia="fr-FR"/>
        </w:rPr>
      </w:pPr>
      <w:r w:rsidRPr="00E32EF5">
        <w:rPr>
          <w:lang w:eastAsia="fr-FR"/>
        </w:rPr>
        <w:lastRenderedPageBreak/>
        <w:t>Le contrôle fiscal des professionnels porte principalement sur l’analyse :</w:t>
      </w:r>
    </w:p>
    <w:p w14:paraId="5D4705AD" w14:textId="77777777" w:rsidR="002B65BE" w:rsidRPr="00E32EF5" w:rsidRDefault="002B65BE" w:rsidP="00281D43">
      <w:pPr>
        <w:pStyle w:val="CGPC-elearning"/>
        <w:rPr>
          <w:lang w:eastAsia="fr-FR"/>
        </w:rPr>
      </w:pPr>
      <w:r w:rsidRPr="00E32EF5">
        <w:rPr>
          <w:lang w:eastAsia="fr-FR"/>
        </w:rPr>
        <w:t>des principaux impôts commerciaux ;</w:t>
      </w:r>
    </w:p>
    <w:p w14:paraId="08B1A9F9" w14:textId="77777777" w:rsidR="002B65BE" w:rsidRPr="00E32EF5" w:rsidRDefault="002B65BE" w:rsidP="00281D43">
      <w:pPr>
        <w:pStyle w:val="CGPC-elearning"/>
        <w:rPr>
          <w:lang w:eastAsia="fr-FR"/>
        </w:rPr>
      </w:pPr>
      <w:r w:rsidRPr="00E32EF5">
        <w:rPr>
          <w:lang w:eastAsia="fr-FR"/>
        </w:rPr>
        <w:t>des résultats de l’entreprise (impôt sur les sociétés ou sur le revenu dans les catégories BIC-BNC-BA) ;</w:t>
      </w:r>
    </w:p>
    <w:p w14:paraId="22D26D0E" w14:textId="77777777" w:rsidR="002B65BE" w:rsidRPr="00E32EF5" w:rsidRDefault="002B65BE" w:rsidP="00281D43">
      <w:pPr>
        <w:pStyle w:val="CGPC-elearning"/>
        <w:rPr>
          <w:lang w:eastAsia="fr-FR"/>
        </w:rPr>
      </w:pPr>
      <w:r w:rsidRPr="00E32EF5">
        <w:rPr>
          <w:lang w:eastAsia="fr-FR"/>
        </w:rPr>
        <w:t>du chiffre d’affaires (</w:t>
      </w:r>
      <w:hyperlink r:id="rId11" w:history="1">
        <w:r w:rsidRPr="00E32EF5">
          <w:rPr>
            <w:color w:val="2C498B"/>
            <w:u w:val="single"/>
            <w:bdr w:val="none" w:sz="0" w:space="0" w:color="auto" w:frame="1"/>
            <w:lang w:eastAsia="fr-FR"/>
          </w:rPr>
          <w:t>TVA</w:t>
        </w:r>
      </w:hyperlink>
      <w:r>
        <w:rPr>
          <w:color w:val="2C498B"/>
          <w:u w:val="single"/>
          <w:bdr w:val="none" w:sz="0" w:space="0" w:color="auto" w:frame="1"/>
          <w:lang w:eastAsia="fr-FR"/>
        </w:rPr>
        <w:t xml:space="preserve"> </w:t>
      </w:r>
      <w:r w:rsidRPr="00E32EF5">
        <w:rPr>
          <w:lang w:eastAsia="fr-FR"/>
        </w:rPr>
        <w:t>et taxes sur le chiffre d’affaires) ;</w:t>
      </w:r>
    </w:p>
    <w:p w14:paraId="7DAE8361" w14:textId="77777777" w:rsidR="002B65BE" w:rsidRPr="00E32EF5" w:rsidRDefault="002B65BE" w:rsidP="00281D43">
      <w:pPr>
        <w:pStyle w:val="CGPC-elearning"/>
        <w:rPr>
          <w:lang w:eastAsia="fr-FR"/>
        </w:rPr>
      </w:pPr>
      <w:r w:rsidRPr="00E32EF5">
        <w:rPr>
          <w:lang w:eastAsia="fr-FR"/>
        </w:rPr>
        <w:t>des actifs (</w:t>
      </w:r>
      <w:proofErr w:type="spellStart"/>
      <w:r>
        <w:fldChar w:fldCharType="begin"/>
      </w:r>
      <w:r>
        <w:instrText>HYPERLINK "https://www.service-public.fr/professionnels-entreprises/vosdroits/N13443"</w:instrText>
      </w:r>
      <w:r>
        <w:fldChar w:fldCharType="separate"/>
      </w:r>
      <w:r w:rsidRPr="00E32EF5">
        <w:rPr>
          <w:color w:val="2C498B"/>
          <w:u w:val="single"/>
          <w:bdr w:val="none" w:sz="0" w:space="0" w:color="auto" w:frame="1"/>
          <w:lang w:eastAsia="fr-FR"/>
        </w:rPr>
        <w:t>CET</w:t>
      </w:r>
      <w:r>
        <w:fldChar w:fldCharType="end"/>
      </w:r>
      <w:r w:rsidRPr="00E32EF5">
        <w:rPr>
          <w:lang w:eastAsia="fr-FR"/>
        </w:rPr>
        <w:t>et</w:t>
      </w:r>
      <w:proofErr w:type="spellEnd"/>
      <w:r w:rsidRPr="00E32EF5">
        <w:rPr>
          <w:lang w:eastAsia="fr-FR"/>
        </w:rPr>
        <w:t xml:space="preserve"> taxes foncières).</w:t>
      </w:r>
    </w:p>
    <w:p w14:paraId="2AF32384" w14:textId="77777777" w:rsidR="002B65BE" w:rsidRPr="00E32EF5" w:rsidRDefault="002B65BE" w:rsidP="00281D43">
      <w:pPr>
        <w:pStyle w:val="CGPC-elearning"/>
        <w:rPr>
          <w:lang w:eastAsia="fr-FR"/>
        </w:rPr>
      </w:pPr>
      <w:r w:rsidRPr="00E32EF5">
        <w:rPr>
          <w:lang w:eastAsia="fr-FR"/>
        </w:rPr>
        <w:t>Sont concernées toutes les entreprises, quel que soit le support de la comptabilité (papier ou dématérialisé) :</w:t>
      </w:r>
    </w:p>
    <w:p w14:paraId="4CA63B6B" w14:textId="77777777" w:rsidR="002B65BE" w:rsidRPr="00E32EF5" w:rsidRDefault="002B65BE" w:rsidP="00281D43">
      <w:pPr>
        <w:pStyle w:val="CGPC-elearning"/>
        <w:rPr>
          <w:lang w:eastAsia="fr-FR"/>
        </w:rPr>
      </w:pPr>
      <w:r w:rsidRPr="00E32EF5">
        <w:rPr>
          <w:lang w:eastAsia="fr-FR"/>
        </w:rPr>
        <w:t>soumises à une obligation de présentation de documents comptables ;</w:t>
      </w:r>
    </w:p>
    <w:p w14:paraId="2042681E" w14:textId="77777777" w:rsidR="002B65BE" w:rsidRPr="00E32EF5" w:rsidRDefault="002B65BE" w:rsidP="00281D43">
      <w:pPr>
        <w:pStyle w:val="CGPC-elearning"/>
        <w:rPr>
          <w:lang w:eastAsia="fr-FR"/>
        </w:rPr>
      </w:pPr>
      <w:r w:rsidRPr="00E32EF5">
        <w:rPr>
          <w:lang w:eastAsia="fr-FR"/>
        </w:rPr>
        <w:t>relevant de l’impôt sur les sociétés (IS) ;</w:t>
      </w:r>
    </w:p>
    <w:p w14:paraId="3DEA4765" w14:textId="75E3C328" w:rsidR="002B65BE" w:rsidRPr="00281D43" w:rsidRDefault="002B65BE" w:rsidP="00F90E72">
      <w:pPr>
        <w:pStyle w:val="CGPC-elearning"/>
        <w:rPr>
          <w:lang w:eastAsia="fr-FR"/>
        </w:rPr>
      </w:pPr>
      <w:r w:rsidRPr="00E32EF5">
        <w:rPr>
          <w:lang w:eastAsia="fr-FR"/>
        </w:rPr>
        <w:t>ou relevant de l’impôt sur le revenu dans la catégorie des bénéfices industriels et commerciaux ( BIC), des </w:t>
      </w:r>
      <w:hyperlink r:id="rId12" w:history="1">
        <w:r w:rsidRPr="00E32EF5">
          <w:rPr>
            <w:color w:val="2C498B"/>
            <w:u w:val="single"/>
            <w:bdr w:val="none" w:sz="0" w:space="0" w:color="auto" w:frame="1"/>
            <w:lang w:eastAsia="fr-FR"/>
          </w:rPr>
          <w:t>bénéfices non commerciaux (BNC), </w:t>
        </w:r>
      </w:hyperlink>
      <w:r w:rsidRPr="00E32EF5">
        <w:rPr>
          <w:lang w:eastAsia="fr-FR"/>
        </w:rPr>
        <w:t>des </w:t>
      </w:r>
      <w:hyperlink r:id="rId13" w:history="1">
        <w:r w:rsidRPr="00E32EF5">
          <w:rPr>
            <w:color w:val="2C498B"/>
            <w:u w:val="single"/>
            <w:bdr w:val="none" w:sz="0" w:space="0" w:color="auto" w:frame="1"/>
            <w:lang w:eastAsia="fr-FR"/>
          </w:rPr>
          <w:t>Bénéfices agricoles (BA) </w:t>
        </w:r>
      </w:hyperlink>
      <w:hyperlink r:id="rId14" w:history="1">
        <w:r w:rsidRPr="00E32EF5">
          <w:rPr>
            <w:color w:val="2C498B"/>
            <w:u w:val="single"/>
            <w:bdr w:val="none" w:sz="0" w:space="0" w:color="auto" w:frame="1"/>
            <w:lang w:eastAsia="fr-FR"/>
          </w:rPr>
          <w:t>ou des taxes sur le chiffre d’affaires (TVA</w:t>
        </w:r>
      </w:hyperlink>
    </w:p>
    <w:p w14:paraId="5FC1D216" w14:textId="54D6E4B9" w:rsidR="002B65BE" w:rsidRPr="009E7220" w:rsidRDefault="0036482C" w:rsidP="00C6408A">
      <w:pPr>
        <w:pStyle w:val="Titre2"/>
      </w:pPr>
      <w:bookmarkStart w:id="14" w:name="_Toc158208037"/>
      <w:bookmarkStart w:id="15" w:name="_Hlk131327830"/>
      <w:r w:rsidRPr="00E32EF5">
        <w:t>Durée du contrôle</w:t>
      </w:r>
      <w:bookmarkEnd w:id="14"/>
      <w:r w:rsidR="002B65BE" w:rsidRPr="00E32EF5">
        <w:rPr>
          <w:color w:val="666666"/>
          <w:sz w:val="20"/>
          <w:szCs w:val="20"/>
        </w:rPr>
        <w:t> </w:t>
      </w:r>
    </w:p>
    <w:bookmarkEnd w:id="15"/>
    <w:p w14:paraId="5F54E047" w14:textId="77777777" w:rsidR="00281D43" w:rsidRDefault="00281D43" w:rsidP="002B65BE">
      <w:pPr>
        <w:spacing w:after="0" w:line="360" w:lineRule="atLeast"/>
        <w:textAlignment w:val="baseline"/>
        <w:rPr>
          <w:rFonts w:eastAsia="Times New Roman" w:cs="Open Sans"/>
          <w:color w:val="666666"/>
          <w:sz w:val="20"/>
          <w:szCs w:val="20"/>
          <w:lang w:eastAsia="fr-FR"/>
        </w:rPr>
      </w:pPr>
    </w:p>
    <w:p w14:paraId="29A56FD5" w14:textId="7E60B6E1" w:rsidR="002B65BE" w:rsidRPr="00E32EF5" w:rsidRDefault="002B65BE" w:rsidP="00281D43">
      <w:pPr>
        <w:pStyle w:val="CGPC-elearning"/>
        <w:rPr>
          <w:lang w:eastAsia="fr-FR"/>
        </w:rPr>
      </w:pPr>
      <w:r w:rsidRPr="00E32EF5">
        <w:rPr>
          <w:lang w:eastAsia="fr-FR"/>
        </w:rPr>
        <w:t>Dans les petites entreprises dont le chiffre d’affaires est inférieur à 789 000 € pour les activités d’achat/vente ou 238 000 €  pour les prestations de services, le vérificateur ne peut pas effectuer un contrôle sur place supérieur à 3 mois.</w:t>
      </w:r>
    </w:p>
    <w:p w14:paraId="4AC0100D" w14:textId="77777777" w:rsidR="002B65BE" w:rsidRPr="00E32EF5" w:rsidRDefault="002B65BE" w:rsidP="00281D43">
      <w:pPr>
        <w:pStyle w:val="CGPC-elearning"/>
        <w:rPr>
          <w:lang w:eastAsia="fr-FR"/>
        </w:rPr>
      </w:pPr>
      <w:r w:rsidRPr="00E32EF5">
        <w:rPr>
          <w:lang w:eastAsia="fr-FR"/>
        </w:rPr>
        <w:t>Néanmoins, en cas de graves irrégularités privant de valeur probante la comptabilité, le contrôle de ces entreprises peut exceptionnellement durer 6 mois.</w:t>
      </w:r>
    </w:p>
    <w:p w14:paraId="45349C1D" w14:textId="77777777" w:rsidR="002B65BE" w:rsidRPr="00E32EF5" w:rsidRDefault="002B65BE" w:rsidP="00281D43">
      <w:pPr>
        <w:pStyle w:val="CGPC-elearning"/>
        <w:rPr>
          <w:lang w:eastAsia="fr-FR"/>
        </w:rPr>
      </w:pPr>
      <w:r w:rsidRPr="00E32EF5">
        <w:rPr>
          <w:lang w:eastAsia="fr-FR"/>
        </w:rPr>
        <w:t>Garanties</w:t>
      </w:r>
    </w:p>
    <w:p w14:paraId="0E55D2C3" w14:textId="77777777" w:rsidR="002B65BE" w:rsidRPr="00E32EF5" w:rsidRDefault="002B65BE" w:rsidP="00281D43">
      <w:pPr>
        <w:pStyle w:val="CGPC-elearning"/>
        <w:rPr>
          <w:lang w:eastAsia="fr-FR"/>
        </w:rPr>
      </w:pPr>
      <w:r w:rsidRPr="00E32EF5">
        <w:rPr>
          <w:lang w:eastAsia="fr-FR"/>
        </w:rPr>
        <w:t>L’entreprise dispose des garanties suivantes :</w:t>
      </w:r>
    </w:p>
    <w:p w14:paraId="0D834E99" w14:textId="77777777" w:rsidR="002B65BE" w:rsidRPr="00E32EF5" w:rsidRDefault="002B65BE" w:rsidP="00281D43">
      <w:pPr>
        <w:pStyle w:val="CGPC-elearning"/>
        <w:rPr>
          <w:lang w:eastAsia="fr-FR"/>
        </w:rPr>
      </w:pPr>
      <w:r w:rsidRPr="00E32EF5">
        <w:rPr>
          <w:lang w:eastAsia="fr-FR"/>
        </w:rPr>
        <w:t>information en amont par l’envoi d’un avis de vérification de comptabilité (sauf en cas de contrôle inopiné) lui rappelant de la possibilité de se faire assister par un conseil de son choix ;</w:t>
      </w:r>
    </w:p>
    <w:p w14:paraId="016AE933" w14:textId="77777777" w:rsidR="002B65BE" w:rsidRPr="00E32EF5" w:rsidRDefault="002B65BE" w:rsidP="00281D43">
      <w:pPr>
        <w:pStyle w:val="CGPC-elearning"/>
        <w:rPr>
          <w:lang w:eastAsia="fr-FR"/>
        </w:rPr>
      </w:pPr>
      <w:r w:rsidRPr="00E32EF5">
        <w:rPr>
          <w:lang w:eastAsia="fr-FR"/>
        </w:rPr>
        <w:t>consultation de la charte du contribuable (qui précise ses droits et ses obligations) sur le site internet impots.gouv.fr ou remise sur simple demande ;</w:t>
      </w:r>
    </w:p>
    <w:p w14:paraId="3BE388D0" w14:textId="77777777" w:rsidR="00F90E72" w:rsidRDefault="002B65BE" w:rsidP="00281D43">
      <w:pPr>
        <w:pStyle w:val="CGPC-elearning"/>
        <w:rPr>
          <w:lang w:eastAsia="fr-FR"/>
        </w:rPr>
      </w:pPr>
      <w:r w:rsidRPr="00E32EF5">
        <w:rPr>
          <w:lang w:eastAsia="fr-FR"/>
        </w:rPr>
        <w:lastRenderedPageBreak/>
        <w:t xml:space="preserve">limitation de la durée de la vérification de comptabilité sur place pour les petites entreprises dont le chiffre d’affaires est inférieur à </w:t>
      </w:r>
      <w:r w:rsidR="00F90E72">
        <w:rPr>
          <w:lang w:eastAsia="fr-FR"/>
        </w:rPr>
        <w:t>840</w:t>
      </w:r>
      <w:r w:rsidRPr="00E32EF5">
        <w:rPr>
          <w:lang w:eastAsia="fr-FR"/>
        </w:rPr>
        <w:t xml:space="preserve"> 000 € pour les activités d’achat/vente ou </w:t>
      </w:r>
    </w:p>
    <w:p w14:paraId="7D81040B" w14:textId="4E80544F" w:rsidR="002B65BE" w:rsidRPr="00E32EF5" w:rsidRDefault="002B65BE" w:rsidP="00281D43">
      <w:pPr>
        <w:pStyle w:val="CGPC-elearning"/>
        <w:rPr>
          <w:lang w:eastAsia="fr-FR"/>
        </w:rPr>
      </w:pPr>
      <w:r w:rsidRPr="00E32EF5">
        <w:rPr>
          <w:lang w:eastAsia="fr-FR"/>
        </w:rPr>
        <w:t>2</w:t>
      </w:r>
      <w:r w:rsidR="00F90E72">
        <w:rPr>
          <w:lang w:eastAsia="fr-FR"/>
        </w:rPr>
        <w:t>54</w:t>
      </w:r>
      <w:r w:rsidRPr="00E32EF5">
        <w:rPr>
          <w:lang w:eastAsia="fr-FR"/>
        </w:rPr>
        <w:t xml:space="preserve"> 000 € pour les prestations de services ;</w:t>
      </w:r>
    </w:p>
    <w:p w14:paraId="598514E1" w14:textId="77777777" w:rsidR="002B65BE" w:rsidRPr="00E32EF5" w:rsidRDefault="002B65BE" w:rsidP="00281D43">
      <w:pPr>
        <w:pStyle w:val="CGPC-elearning"/>
        <w:rPr>
          <w:lang w:eastAsia="fr-FR"/>
        </w:rPr>
      </w:pPr>
      <w:r w:rsidRPr="00E32EF5">
        <w:rPr>
          <w:lang w:eastAsia="fr-FR"/>
        </w:rPr>
        <w:t>information des résultats et des conséquences financières du contrôle ;</w:t>
      </w:r>
    </w:p>
    <w:p w14:paraId="617EDCEB" w14:textId="77777777" w:rsidR="002B65BE" w:rsidRPr="00E32EF5" w:rsidRDefault="002B65BE" w:rsidP="00281D43">
      <w:pPr>
        <w:pStyle w:val="CGPC-elearning"/>
        <w:rPr>
          <w:lang w:eastAsia="fr-FR"/>
        </w:rPr>
      </w:pPr>
      <w:r w:rsidRPr="00E32EF5">
        <w:rPr>
          <w:lang w:eastAsia="fr-FR"/>
        </w:rPr>
        <w:t>principe de non renouvellement du contrôle sur les exercices ou revenus déjà vérifiés (sauf en cas d’agissements frauduleux, par exemple).</w:t>
      </w:r>
    </w:p>
    <w:p w14:paraId="5AEE13C3" w14:textId="77777777" w:rsidR="002B65BE" w:rsidRPr="00E32EF5" w:rsidRDefault="002B65BE" w:rsidP="00281D43">
      <w:pPr>
        <w:pStyle w:val="CGPC-elearning"/>
        <w:rPr>
          <w:lang w:eastAsia="fr-FR"/>
        </w:rPr>
      </w:pPr>
      <w:r w:rsidRPr="00E32EF5">
        <w:rPr>
          <w:lang w:eastAsia="fr-FR"/>
        </w:rPr>
        <w:t>À savoir :</w:t>
      </w:r>
    </w:p>
    <w:p w14:paraId="7A790B5C" w14:textId="77777777" w:rsidR="002B65BE" w:rsidRPr="00E32EF5" w:rsidRDefault="002B65BE" w:rsidP="00281D43">
      <w:pPr>
        <w:pStyle w:val="CGPC-elearning"/>
        <w:rPr>
          <w:lang w:eastAsia="fr-FR"/>
        </w:rPr>
      </w:pPr>
      <w:r w:rsidRPr="00E32EF5">
        <w:rPr>
          <w:lang w:eastAsia="fr-FR"/>
        </w:rPr>
        <w:t>En cas de contrôle inopiné, le vérificateur peut demander la présentation des documents comptables, mais ne peut pas analyser leur contenu le jour de l’intervention.</w:t>
      </w:r>
    </w:p>
    <w:p w14:paraId="10B5BB5D" w14:textId="77777777" w:rsidR="002B65BE" w:rsidRPr="00E32EF5" w:rsidRDefault="002B65BE" w:rsidP="00281D43">
      <w:pPr>
        <w:pStyle w:val="CGPC-elearning"/>
        <w:rPr>
          <w:lang w:eastAsia="fr-FR"/>
        </w:rPr>
      </w:pPr>
      <w:r w:rsidRPr="00E32EF5">
        <w:rPr>
          <w:lang w:eastAsia="fr-FR"/>
        </w:rPr>
        <w:t>En cas d’insuffisance de déclaration, l’entreprise encourt une majoration appliquée à hauteur de :</w:t>
      </w:r>
    </w:p>
    <w:p w14:paraId="26E1AAD7" w14:textId="77777777" w:rsidR="002B65BE" w:rsidRPr="00E32EF5" w:rsidRDefault="002B65BE" w:rsidP="00281D43">
      <w:pPr>
        <w:pStyle w:val="CGPC-elearning"/>
        <w:rPr>
          <w:lang w:eastAsia="fr-FR"/>
        </w:rPr>
      </w:pPr>
      <w:r w:rsidRPr="00E32EF5">
        <w:rPr>
          <w:lang w:eastAsia="fr-FR"/>
        </w:rPr>
        <w:t>40 % en cas de manquement délibéré;</w:t>
      </w:r>
    </w:p>
    <w:p w14:paraId="3A63BB98" w14:textId="77777777" w:rsidR="002B65BE" w:rsidRPr="00E32EF5" w:rsidRDefault="002B65BE" w:rsidP="00281D43">
      <w:pPr>
        <w:pStyle w:val="CGPC-elearning"/>
        <w:rPr>
          <w:lang w:eastAsia="fr-FR"/>
        </w:rPr>
      </w:pPr>
      <w:r w:rsidRPr="00E32EF5">
        <w:rPr>
          <w:lang w:eastAsia="fr-FR"/>
        </w:rPr>
        <w:t>80 % en cas de manœuvres frauduleuses ou d’abus de droit.</w:t>
      </w:r>
    </w:p>
    <w:p w14:paraId="1F20869E" w14:textId="77777777" w:rsidR="002B65BE" w:rsidRPr="00E32EF5" w:rsidRDefault="002B65BE" w:rsidP="00281D43">
      <w:pPr>
        <w:pStyle w:val="CGPC-elearning"/>
        <w:rPr>
          <w:lang w:eastAsia="fr-FR"/>
        </w:rPr>
      </w:pPr>
      <w:r w:rsidRPr="00E32EF5">
        <w:rPr>
          <w:lang w:eastAsia="fr-FR"/>
        </w:rPr>
        <w:t>En cas de défaut ou retard de déclaration, l’entreprise encourt une majoration appliquée à hauteur de :</w:t>
      </w:r>
    </w:p>
    <w:p w14:paraId="3DD9316B" w14:textId="77777777" w:rsidR="002B65BE" w:rsidRPr="00E32EF5" w:rsidRDefault="002B65BE" w:rsidP="00281D43">
      <w:pPr>
        <w:pStyle w:val="CGPC-elearning"/>
        <w:rPr>
          <w:lang w:eastAsia="fr-FR"/>
        </w:rPr>
      </w:pPr>
      <w:r w:rsidRPr="00E32EF5">
        <w:rPr>
          <w:lang w:eastAsia="fr-FR"/>
        </w:rPr>
        <w:t>10 % en l’absence de mise en demeure ou en cas de dépôt de la déclaration dans les trente jours suivant la réception d’une mise en demeure ;</w:t>
      </w:r>
    </w:p>
    <w:p w14:paraId="50499D6D" w14:textId="77777777" w:rsidR="002B65BE" w:rsidRPr="00E32EF5" w:rsidRDefault="002B65BE" w:rsidP="00281D43">
      <w:pPr>
        <w:pStyle w:val="CGPC-elearning"/>
        <w:rPr>
          <w:lang w:eastAsia="fr-FR"/>
        </w:rPr>
      </w:pPr>
      <w:r w:rsidRPr="00E32EF5">
        <w:rPr>
          <w:lang w:eastAsia="fr-FR"/>
        </w:rPr>
        <w:t>40 % lorsque la déclaration n’a pas été déposée dans les trente jours suivant la réception d’une mise en demeure.</w:t>
      </w:r>
    </w:p>
    <w:p w14:paraId="33294A58" w14:textId="77777777" w:rsidR="002B65BE" w:rsidRPr="00E32EF5" w:rsidRDefault="002B65BE" w:rsidP="002B65BE">
      <w:pPr>
        <w:spacing w:after="0" w:line="360" w:lineRule="atLeast"/>
        <w:textAlignment w:val="baseline"/>
        <w:rPr>
          <w:rFonts w:eastAsia="Times New Roman" w:cs="Open Sans"/>
          <w:color w:val="666666"/>
          <w:sz w:val="20"/>
          <w:szCs w:val="20"/>
          <w:lang w:eastAsia="fr-FR"/>
        </w:rPr>
      </w:pPr>
      <w:r w:rsidRPr="00E32EF5">
        <w:rPr>
          <w:rFonts w:eastAsia="Times New Roman" w:cs="Open Sans"/>
          <w:color w:val="666666"/>
          <w:sz w:val="20"/>
          <w:szCs w:val="20"/>
          <w:lang w:eastAsia="fr-FR"/>
        </w:rPr>
        <w:t> </w:t>
      </w:r>
    </w:p>
    <w:p w14:paraId="5215F373" w14:textId="09C01604" w:rsidR="002B65BE" w:rsidRPr="00E32EF5" w:rsidRDefault="0036482C" w:rsidP="00C6408A">
      <w:pPr>
        <w:pStyle w:val="Titre2"/>
      </w:pPr>
      <w:bookmarkStart w:id="16" w:name="_Toc158208038"/>
      <w:r w:rsidRPr="00E32EF5">
        <w:t>Examen de conformité fiscale</w:t>
      </w:r>
      <w:bookmarkEnd w:id="16"/>
    </w:p>
    <w:p w14:paraId="2F2968AE" w14:textId="77777777" w:rsidR="002B65BE" w:rsidRPr="00E32EF5" w:rsidRDefault="002B65BE" w:rsidP="002B65BE">
      <w:pPr>
        <w:spacing w:after="0" w:line="360" w:lineRule="atLeast"/>
        <w:textAlignment w:val="baseline"/>
        <w:rPr>
          <w:rFonts w:eastAsia="Times New Roman" w:cs="Open Sans"/>
          <w:color w:val="666666"/>
          <w:sz w:val="20"/>
          <w:szCs w:val="20"/>
          <w:lang w:eastAsia="fr-FR"/>
        </w:rPr>
      </w:pPr>
      <w:r w:rsidRPr="00E32EF5">
        <w:rPr>
          <w:rFonts w:eastAsia="Times New Roman" w:cs="Open Sans"/>
          <w:color w:val="666666"/>
          <w:sz w:val="20"/>
          <w:szCs w:val="20"/>
          <w:lang w:eastAsia="fr-FR"/>
        </w:rPr>
        <w:t> </w:t>
      </w:r>
    </w:p>
    <w:p w14:paraId="62A1B63F" w14:textId="77777777" w:rsidR="002B65BE" w:rsidRPr="00E32EF5" w:rsidRDefault="002B65BE" w:rsidP="00281D43">
      <w:pPr>
        <w:pStyle w:val="CGPC-elearning"/>
        <w:rPr>
          <w:lang w:eastAsia="fr-FR"/>
        </w:rPr>
      </w:pPr>
      <w:proofErr w:type="spellStart"/>
      <w:r w:rsidRPr="00E32EF5">
        <w:rPr>
          <w:lang w:eastAsia="fr-FR"/>
        </w:rPr>
        <w:t>A</w:t>
      </w:r>
      <w:proofErr w:type="spellEnd"/>
      <w:r w:rsidRPr="00E32EF5">
        <w:rPr>
          <w:lang w:eastAsia="fr-FR"/>
        </w:rPr>
        <w:t xml:space="preserve"> la suite de la loi pour un État au service d’une société de confiance (ESSOC), une série de mesures s’inscrivant dans le cadre d’une nouvelle relation de confiance entre les entreprises et la DGFiP ont été prises en vue de sécuriser les acteurs économiques sur le traitement fiscal de leurs activités.</w:t>
      </w:r>
    </w:p>
    <w:p w14:paraId="70D98353" w14:textId="77777777" w:rsidR="002B65BE" w:rsidRPr="00E32EF5" w:rsidRDefault="002B65BE" w:rsidP="00281D43">
      <w:pPr>
        <w:pStyle w:val="CGPC-elearning"/>
        <w:rPr>
          <w:lang w:eastAsia="fr-FR"/>
        </w:rPr>
      </w:pPr>
      <w:r w:rsidRPr="00E32EF5">
        <w:rPr>
          <w:lang w:eastAsia="fr-FR"/>
        </w:rPr>
        <w:t>Afin de renforcer la sécurité juridique des entreprises, le Ministre chargé des Comptes publics vient de créer l’examen de conformité fiscale (ECF), une nouvelle prestation au profit des entreprises.</w:t>
      </w:r>
    </w:p>
    <w:p w14:paraId="638FEB54" w14:textId="77777777" w:rsidR="002B65BE" w:rsidRPr="00E32EF5" w:rsidRDefault="002B65BE" w:rsidP="00281D43">
      <w:pPr>
        <w:pStyle w:val="CGPC-elearning"/>
        <w:rPr>
          <w:lang w:eastAsia="fr-FR"/>
        </w:rPr>
      </w:pPr>
      <w:r w:rsidRPr="00E32EF5">
        <w:rPr>
          <w:lang w:eastAsia="fr-FR"/>
        </w:rPr>
        <w:lastRenderedPageBreak/>
        <w:t>Avec l’ECF, toutes les entreprises, quels que soient leur taille et leur secteur d’activité, pourront recourir aux services d’un prestataire qui auditera les dix points fiscaux usuels1 définis dans un chemin d’audit en concertation avec les représentants des entreprises, les experts-comptables, les commissaires aux comptes, les conseils fiscaux et les organismes de gestion agréés.</w:t>
      </w:r>
    </w:p>
    <w:p w14:paraId="2343F02D" w14:textId="77777777" w:rsidR="002B65BE" w:rsidRPr="00E32EF5" w:rsidRDefault="002B65BE" w:rsidP="00281D43">
      <w:pPr>
        <w:pStyle w:val="CGPC-elearning"/>
        <w:rPr>
          <w:lang w:eastAsia="fr-FR"/>
        </w:rPr>
      </w:pPr>
      <w:r w:rsidRPr="00E32EF5">
        <w:rPr>
          <w:lang w:eastAsia="fr-FR"/>
        </w:rPr>
        <w:t>Cette prestation sera plus particulièrement réalisée par les professionnels du chiffre, du conseil et de l’audit qui établiront un compte rendu de mission et inviteront les entreprises auditées à corriger les éventuelles anomalies.</w:t>
      </w:r>
    </w:p>
    <w:p w14:paraId="0061AF17" w14:textId="77777777" w:rsidR="002B65BE" w:rsidRPr="00E32EF5" w:rsidRDefault="002B65BE" w:rsidP="00281D43">
      <w:pPr>
        <w:pStyle w:val="CGPC-elearning"/>
        <w:rPr>
          <w:lang w:eastAsia="fr-FR"/>
        </w:rPr>
      </w:pPr>
      <w:r w:rsidRPr="00E32EF5">
        <w:rPr>
          <w:lang w:eastAsia="fr-FR"/>
        </w:rPr>
        <w:t>Les entreprises seront ainsi libérées du souci que peut représenter le risque fiscal sur les questions courantes face à la complexité de la loi fiscale. Le recours à cette prestation constituera, en outre, un atout dans les relations commerciales des entreprises avec leurs interlocuteurs habituels, tels que les banques, les clients…</w:t>
      </w:r>
    </w:p>
    <w:p w14:paraId="3E86B66F" w14:textId="77777777" w:rsidR="002B65BE" w:rsidRPr="00E32EF5" w:rsidRDefault="002B65BE" w:rsidP="00281D43">
      <w:pPr>
        <w:pStyle w:val="CGPC-elearning"/>
        <w:rPr>
          <w:lang w:eastAsia="fr-FR"/>
        </w:rPr>
      </w:pPr>
      <w:r w:rsidRPr="00E32EF5">
        <w:rPr>
          <w:lang w:eastAsia="fr-FR"/>
        </w:rPr>
        <w:t>En cas de contrôle fiscal conduisant à un rappel d’impôt sur un point validé par le prestataire, l’entreprise pourra solliciter le remboursement de la part des honoraires payée à ce titre et, pour l’entreprise qui a respecté les recommandations de son prestataire (indiquées précisément dans le compte rendu de mission), aucune pénalité et ni intérêt de retard ne seront appliqués par la DGFiP.</w:t>
      </w:r>
    </w:p>
    <w:p w14:paraId="51119931" w14:textId="77777777" w:rsidR="002B65BE" w:rsidRPr="00E32EF5" w:rsidRDefault="002B65BE" w:rsidP="00281D43">
      <w:pPr>
        <w:pStyle w:val="CGPC-elearning"/>
        <w:rPr>
          <w:lang w:eastAsia="fr-FR"/>
        </w:rPr>
      </w:pPr>
      <w:r w:rsidRPr="00E32EF5">
        <w:rPr>
          <w:lang w:eastAsia="fr-FR"/>
        </w:rPr>
        <w:t>Ainsi, avec les dispositifs de l’accompagnement fiscal personnalisé au profit des PME, du partenariat fiscal avec les entreprises de taille intermédiaire et les grandes entreprises, ainsi que du service de mise en conformité fiscale, déjà mis en place au sein de la DGFiP, les entreprises soucieuses de sécuriser le traitement fiscal de leurs activités disposent désormais d’une large palette d’instruments.</w:t>
      </w:r>
    </w:p>
    <w:p w14:paraId="2B2EBF00" w14:textId="77777777" w:rsidR="002B65BE" w:rsidRDefault="002B65BE" w:rsidP="002B65BE"/>
    <w:p w14:paraId="3B622071" w14:textId="6FACF378" w:rsidR="002B65BE" w:rsidRDefault="0036482C" w:rsidP="00C6408A">
      <w:pPr>
        <w:pStyle w:val="Titre2"/>
      </w:pPr>
      <w:bookmarkStart w:id="17" w:name="_Toc158208039"/>
      <w:r>
        <w:t xml:space="preserve">Garantie fiscale (loi </w:t>
      </w:r>
      <w:proofErr w:type="spellStart"/>
      <w:r>
        <w:t>essoc</w:t>
      </w:r>
      <w:proofErr w:type="spellEnd"/>
      <w:r>
        <w:t>)</w:t>
      </w:r>
      <w:bookmarkEnd w:id="17"/>
    </w:p>
    <w:p w14:paraId="5F0D7473" w14:textId="77777777" w:rsidR="00281D43" w:rsidRDefault="00281D43" w:rsidP="00281D43">
      <w:pPr>
        <w:pStyle w:val="CGPC-elearning"/>
        <w:rPr>
          <w:rFonts w:eastAsia="Times New Roman"/>
          <w:sz w:val="20"/>
          <w:szCs w:val="20"/>
          <w:lang w:eastAsia="en-GB"/>
        </w:rPr>
      </w:pPr>
    </w:p>
    <w:p w14:paraId="3E8366CB" w14:textId="191BEADA" w:rsidR="002B65BE" w:rsidRPr="00281D43" w:rsidRDefault="002B65BE" w:rsidP="00281D43">
      <w:pPr>
        <w:pStyle w:val="CGPC-elearning"/>
      </w:pPr>
      <w:r w:rsidRPr="00281D43">
        <w:t>La garantie fiscale résulte de la combinaison du second alinéa de l'</w:t>
      </w:r>
      <w:hyperlink r:id="rId15" w:tgtFrame="_blank" w:tooltip="article L80 A du Livre des procédures fiscales depuis le 12/08/2018" w:history="1">
        <w:r w:rsidRPr="00281D43">
          <w:t>article L. 80 A du LPF</w:t>
        </w:r>
      </w:hyperlink>
      <w:r w:rsidRPr="00281D43">
        <w:t xml:space="preserve"> et du deuxième alinéa de l'</w:t>
      </w:r>
      <w:hyperlink r:id="rId16" w:tgtFrame="_blank" w:tooltip="article L49 du Livre des procédures fiscales depuis le 12/08/2018" w:history="1">
        <w:r w:rsidRPr="00281D43">
          <w:t>article L. 49 du LPF</w:t>
        </w:r>
      </w:hyperlink>
      <w:r w:rsidRPr="00281D43">
        <w:t>.</w:t>
      </w:r>
    </w:p>
    <w:p w14:paraId="520B481F" w14:textId="77777777" w:rsidR="002B65BE" w:rsidRPr="00281D43" w:rsidRDefault="002B65BE" w:rsidP="00281D43">
      <w:pPr>
        <w:pStyle w:val="CGPC-elearning"/>
      </w:pPr>
      <w:r w:rsidRPr="00281D43">
        <w:t>L’administration est tenue de porter expressément à la connaissance du contribuable, sur la proposition de rectification ou l’avis d’absence de rectification, les points contrôlés même non rectifiés.</w:t>
      </w:r>
    </w:p>
    <w:p w14:paraId="15DAA6F4" w14:textId="77777777" w:rsidR="002B65BE" w:rsidRPr="00281D43" w:rsidRDefault="002B65BE" w:rsidP="00281D43">
      <w:pPr>
        <w:pStyle w:val="CGPC-elearning"/>
      </w:pPr>
      <w:r w:rsidRPr="00281D43">
        <w:t>Cela constitue une validation de l’administration, dont le contribuable pourra se prévaloir, sous certaines conditions, et empêchera l’administration de proposer des rectifications contraires à cette position sur toute période non prescrite, tant qu’elle n’a pas rapporté cette position.</w:t>
      </w:r>
    </w:p>
    <w:p w14:paraId="0043A261" w14:textId="77777777" w:rsidR="002B65BE" w:rsidRPr="00281D43" w:rsidRDefault="002B65BE" w:rsidP="00281D43">
      <w:pPr>
        <w:pStyle w:val="CGPC-elearning"/>
      </w:pPr>
      <w:r w:rsidRPr="00281D43">
        <w:t>La garantie fiscale ne peut concerner que les points couverts par l’avis de vérification de comptabilité, d’examen de comptabilité ou d'ESFP, qui auront été effectivement examinés par le service de contrôle dans le cadre des procédures listées par la loi.</w:t>
      </w:r>
    </w:p>
    <w:p w14:paraId="3DB91E82" w14:textId="77777777" w:rsidR="002B65BE" w:rsidRPr="00281D43" w:rsidRDefault="002B65BE" w:rsidP="00281D43">
      <w:pPr>
        <w:pStyle w:val="CGPC-elearning"/>
      </w:pPr>
      <w:r w:rsidRPr="00281D43">
        <w:lastRenderedPageBreak/>
        <w:t>Un point exclu du périmètre des investigations de l’administration n'est pas considéré comme un point examiné.</w:t>
      </w:r>
    </w:p>
    <w:p w14:paraId="01D42EB5" w14:textId="7AF80D1C" w:rsidR="002B65BE" w:rsidRPr="00281D43" w:rsidRDefault="002B65BE" w:rsidP="00C6408A">
      <w:pPr>
        <w:pStyle w:val="Titre3"/>
        <w:numPr>
          <w:ilvl w:val="0"/>
          <w:numId w:val="48"/>
        </w:numPr>
      </w:pPr>
      <w:r w:rsidRPr="00281D43">
        <w:t>Notion de point examiné</w:t>
      </w:r>
    </w:p>
    <w:p w14:paraId="44109093" w14:textId="77777777" w:rsidR="002B65BE" w:rsidRPr="00B75DDA" w:rsidRDefault="002B65BE" w:rsidP="00281D43">
      <w:pPr>
        <w:pStyle w:val="CGPC-elearning"/>
        <w:rPr>
          <w:lang w:eastAsia="en-GB"/>
        </w:rPr>
      </w:pPr>
      <w:r w:rsidRPr="00B75DDA">
        <w:rPr>
          <w:lang w:eastAsia="en-GB"/>
        </w:rPr>
        <w:t>Lorsque le point est inclus dans le périmètre du contrôle, il n'est considéré comme examiné au sens de la garantie fiscale que si l'administration dispose de toutes les informations nécessaires pour prendre position, en toute connaissance de cause, sur l’application d’une règle fiscale à une situation de fait (</w:t>
      </w:r>
      <w:hyperlink r:id="rId17" w:tgtFrame="_blank" w:tooltip="article L80 A du Livre des procédures fiscales depuis le 12/08/2018" w:history="1">
        <w:r w:rsidRPr="00B75DDA">
          <w:rPr>
            <w:color w:val="0000FF"/>
            <w:u w:val="single"/>
            <w:lang w:eastAsia="en-GB"/>
          </w:rPr>
          <w:t>LPF, art. L. 80 A, al. 2</w:t>
        </w:r>
      </w:hyperlink>
      <w:r w:rsidRPr="00B75DDA">
        <w:rPr>
          <w:lang w:eastAsia="en-GB"/>
        </w:rPr>
        <w:t>).</w:t>
      </w:r>
    </w:p>
    <w:p w14:paraId="4A87216F" w14:textId="77777777" w:rsidR="002B65BE" w:rsidRPr="00B75DDA" w:rsidRDefault="002B65BE" w:rsidP="00281D43">
      <w:pPr>
        <w:pStyle w:val="CGPC-elearning"/>
        <w:rPr>
          <w:lang w:eastAsia="en-GB"/>
        </w:rPr>
      </w:pPr>
      <w:r w:rsidRPr="00B75DDA">
        <w:rPr>
          <w:lang w:eastAsia="en-GB"/>
        </w:rPr>
        <w:t>En pratique, il s'agit des points qui ont fait l’objet d’un échange entre le contribuable et l'administration, c’est-à-dire qui ont donné lieu :</w:t>
      </w:r>
    </w:p>
    <w:p w14:paraId="3D1A7B7D" w14:textId="77777777" w:rsidR="002B65BE" w:rsidRPr="00B75DDA" w:rsidRDefault="002B65BE" w:rsidP="00281D43">
      <w:pPr>
        <w:pStyle w:val="CGPC-elearning"/>
        <w:rPr>
          <w:lang w:eastAsia="en-GB"/>
        </w:rPr>
      </w:pPr>
      <w:r w:rsidRPr="00B75DDA">
        <w:rPr>
          <w:lang w:eastAsia="en-GB"/>
        </w:rPr>
        <w:t>- à une interrogation précise de l'administration à l’attention du contribuable ;</w:t>
      </w:r>
    </w:p>
    <w:p w14:paraId="3C002DEC" w14:textId="77777777" w:rsidR="002B65BE" w:rsidRPr="00B75DDA" w:rsidRDefault="002B65BE" w:rsidP="00281D43">
      <w:pPr>
        <w:pStyle w:val="CGPC-elearning"/>
        <w:rPr>
          <w:lang w:eastAsia="en-GB"/>
        </w:rPr>
      </w:pPr>
      <w:r w:rsidRPr="00B75DDA">
        <w:rPr>
          <w:lang w:eastAsia="en-GB"/>
        </w:rPr>
        <w:t>- et à une réponse du contribuable permettant à l'administration de se prononcer en toute connaissance de cause, au regard des faits constatés et du droit applicable.</w:t>
      </w:r>
    </w:p>
    <w:p w14:paraId="6DEE8375" w14:textId="77777777" w:rsidR="002B65BE" w:rsidRPr="00B75DDA" w:rsidRDefault="002B65BE" w:rsidP="00281D43">
      <w:pPr>
        <w:pStyle w:val="CGPC-elearning"/>
        <w:rPr>
          <w:lang w:eastAsia="en-GB"/>
        </w:rPr>
      </w:pPr>
      <w:r w:rsidRPr="00B75DDA">
        <w:rPr>
          <w:lang w:eastAsia="en-GB"/>
        </w:rPr>
        <w:t>Un point sur lequel l'administration a interrogé le contribuable et n’a pas obtenu de réponse ou une réponse insuffisante pour se prononcer en toute connaissance de cause n'est pas un point examiné au sens de la garantie fiscale.</w:t>
      </w:r>
    </w:p>
    <w:p w14:paraId="72361FB4" w14:textId="77777777" w:rsidR="002B65BE" w:rsidRPr="00B75DDA" w:rsidRDefault="002B65BE" w:rsidP="00281D43">
      <w:pPr>
        <w:pStyle w:val="CGPC-elearning"/>
        <w:rPr>
          <w:lang w:eastAsia="en-GB"/>
        </w:rPr>
      </w:pPr>
      <w:r w:rsidRPr="00B75DDA">
        <w:rPr>
          <w:lang w:eastAsia="en-GB"/>
        </w:rPr>
        <w:t>En outre, pour qu’un point soit considéré comme examiné au sens de la garantie fiscale, il faut qu’il puisse donner lieu à une prise de position de l’administration sur l’application d’une règle fiscale à une situation de fait.</w:t>
      </w:r>
    </w:p>
    <w:p w14:paraId="216B3481" w14:textId="77777777" w:rsidR="002B65BE" w:rsidRPr="00B75DDA" w:rsidRDefault="002B65BE" w:rsidP="00281D43">
      <w:pPr>
        <w:pStyle w:val="CGPC-elearning"/>
        <w:rPr>
          <w:lang w:eastAsia="en-GB"/>
        </w:rPr>
      </w:pPr>
      <w:r w:rsidRPr="00B75DDA">
        <w:rPr>
          <w:lang w:eastAsia="en-GB"/>
        </w:rPr>
        <w:t>Ainsi, une question sur une écriture comptable permettant à l'administration de se prononcer sur sa conformité au droit fiscal applicable vaut examen au sens de la garantie fiscale.</w:t>
      </w:r>
    </w:p>
    <w:p w14:paraId="28C9F2EF" w14:textId="77777777" w:rsidR="002B65BE" w:rsidRPr="00B75DDA" w:rsidRDefault="002B65BE" w:rsidP="00281D43">
      <w:pPr>
        <w:pStyle w:val="CGPC-elearning"/>
        <w:rPr>
          <w:lang w:eastAsia="en-GB"/>
        </w:rPr>
      </w:pPr>
      <w:r w:rsidRPr="00B75DDA">
        <w:rPr>
          <w:lang w:eastAsia="en-GB"/>
        </w:rPr>
        <w:t>En revanche, une question sur une écriture comptable afin de comprendre sa comptabilisation ne vaut pas examen au sens de la garantie fiscale, puisque l'administration ne cherche pas à en tirer de conséquences fiscales.</w:t>
      </w:r>
    </w:p>
    <w:p w14:paraId="66798BE5" w14:textId="77777777" w:rsidR="002B65BE" w:rsidRPr="00B75DDA" w:rsidRDefault="002B65BE" w:rsidP="00281D43">
      <w:pPr>
        <w:pStyle w:val="CGPC-elearning"/>
        <w:rPr>
          <w:lang w:eastAsia="en-GB"/>
        </w:rPr>
      </w:pPr>
      <w:r w:rsidRPr="00B75DDA">
        <w:rPr>
          <w:lang w:eastAsia="en-GB"/>
        </w:rPr>
        <w:t>La demande de communication de documents économiques, juridiques ou comptables de portée générale, qui n’impliquent pas automatiquement l’application d’une règle fiscale, ne constitue pas non plus examen au sens de la garantie fiscale dès lors qu’aucune conséquence fiscale précise ne peut en être tirée. Tel est le cas, notamment, des demandes de communication d’états de rapprochements comptables, de contrats, de conventions ou de comptes bancaires.</w:t>
      </w:r>
    </w:p>
    <w:p w14:paraId="5FF8BE8F" w14:textId="77777777" w:rsidR="002B65BE" w:rsidRPr="00B75DDA" w:rsidRDefault="002B65BE" w:rsidP="00281D43">
      <w:pPr>
        <w:pStyle w:val="CGPC-elearning"/>
        <w:rPr>
          <w:lang w:eastAsia="en-GB"/>
        </w:rPr>
      </w:pPr>
      <w:r w:rsidRPr="00B75DDA">
        <w:rPr>
          <w:lang w:eastAsia="en-GB"/>
        </w:rPr>
        <w:t>Si le contribuable souhaite que l'administration prenne position sur un point inclus dans le champ de l'avis de vérification ou d'examen de comptabilité, mais qui n'a pas fait l'objet d'interrogation de l’administration, il lui appartient de demander un rescrit en cours de contrôle en application du 10° de l’</w:t>
      </w:r>
      <w:hyperlink r:id="rId18" w:tgtFrame="_blank" w:tooltip="article L80 B du Livre des procédures fiscales depuis le 01/01/2019" w:history="1">
        <w:r w:rsidRPr="00B75DDA">
          <w:rPr>
            <w:color w:val="0000FF"/>
            <w:u w:val="single"/>
            <w:lang w:eastAsia="en-GB"/>
          </w:rPr>
          <w:t>article L. 80 B du LPF</w:t>
        </w:r>
      </w:hyperlink>
      <w:r w:rsidRPr="00B75DDA">
        <w:rPr>
          <w:lang w:eastAsia="en-GB"/>
        </w:rPr>
        <w:t xml:space="preserve"> (</w:t>
      </w:r>
      <w:hyperlink r:id="rId19" w:tooltip="BOI-CF-PGR-30-20 - CF - Garanties liées aux procédures de rectification - Garanties accordées lorsque l'administration a pris formellement position sur l'interprétation d'un texte fiscal ou sur une situation de fait au regard d'un texte fiscal - 717-PGP" w:history="1">
        <w:r w:rsidRPr="00B75DDA">
          <w:rPr>
            <w:color w:val="0000FF"/>
            <w:u w:val="single"/>
            <w:lang w:eastAsia="en-GB"/>
          </w:rPr>
          <w:t>BOI-CF-PGR-30-20</w:t>
        </w:r>
      </w:hyperlink>
      <w:r w:rsidRPr="00B75DDA">
        <w:rPr>
          <w:lang w:eastAsia="en-GB"/>
        </w:rPr>
        <w:t>).</w:t>
      </w:r>
    </w:p>
    <w:p w14:paraId="64B36324" w14:textId="7EEBAE17" w:rsidR="002B65BE" w:rsidRPr="00B75DDA" w:rsidRDefault="002B65BE" w:rsidP="00C6408A">
      <w:pPr>
        <w:pStyle w:val="Titre3"/>
      </w:pPr>
      <w:r w:rsidRPr="00B75DDA">
        <w:lastRenderedPageBreak/>
        <w:t>Situations excluant par principe le bénéfice de la garantie fiscale</w:t>
      </w:r>
    </w:p>
    <w:p w14:paraId="50EF4B32" w14:textId="77777777" w:rsidR="002B65BE" w:rsidRPr="00B75DDA" w:rsidRDefault="002B65BE" w:rsidP="00281D43">
      <w:pPr>
        <w:pStyle w:val="CGPC-elearning"/>
        <w:rPr>
          <w:lang w:eastAsia="en-GB"/>
        </w:rPr>
      </w:pPr>
      <w:r w:rsidRPr="00B75DDA">
        <w:rPr>
          <w:lang w:eastAsia="en-GB"/>
        </w:rPr>
        <w:t>Dans certains cas, le contrôle fiscal externe ne peut donner lieu à aucune garantie fiscale pour l’avenir.</w:t>
      </w:r>
    </w:p>
    <w:p w14:paraId="0724A551" w14:textId="77777777" w:rsidR="002B65BE" w:rsidRPr="00B75DDA" w:rsidRDefault="002B65BE" w:rsidP="00281D43">
      <w:pPr>
        <w:pStyle w:val="CGPC-elearning"/>
        <w:rPr>
          <w:lang w:eastAsia="en-GB"/>
        </w:rPr>
      </w:pPr>
      <w:r w:rsidRPr="00B75DDA">
        <w:rPr>
          <w:lang w:eastAsia="en-GB"/>
        </w:rPr>
        <w:t>Il en est ainsi lorsque l'administration établit que la comptabilité est irrégulière et non probante. Dans ce cas, la garantie est inapplicable pour tous les exercices concernés par le rejet de comptabilité. Toutefois, les points examinés afférents aux exercices au titre desquels la comptabilité n’a pas été rejetée peuvent bénéficier de la garantie fiscale, sous réserve que le contribuable ait communiqué tous les éléments permettant d'apprécier sa situation.</w:t>
      </w:r>
    </w:p>
    <w:p w14:paraId="5DD4A932" w14:textId="374C6708" w:rsidR="00C12BC9" w:rsidRPr="002B65BE" w:rsidRDefault="002B65BE" w:rsidP="00281D43">
      <w:pPr>
        <w:pStyle w:val="CGPC-elearning"/>
        <w:rPr>
          <w:lang w:eastAsia="en-GB"/>
        </w:rPr>
      </w:pPr>
      <w:r w:rsidRPr="00B75DDA">
        <w:rPr>
          <w:lang w:eastAsia="en-GB"/>
        </w:rPr>
        <w:t>De même, aucune garantie fiscale ne peut être octroyée si le contribuable est défaillant pour des périodes et impôts examinés dans le cadre du contrôle.</w:t>
      </w:r>
    </w:p>
    <w:sectPr w:rsidR="00C12BC9" w:rsidRPr="002B65BE" w:rsidSect="0036482C">
      <w:headerReference w:type="default" r:id="rId20"/>
      <w:footerReference w:type="default" r:id="rId21"/>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90DF4" w14:textId="77777777" w:rsidR="002020F9" w:rsidRDefault="002020F9" w:rsidP="002020F9">
      <w:pPr>
        <w:spacing w:after="0" w:line="240" w:lineRule="auto"/>
      </w:pPr>
      <w:r>
        <w:separator/>
      </w:r>
    </w:p>
  </w:endnote>
  <w:endnote w:type="continuationSeparator" w:id="0">
    <w:p w14:paraId="620F03C5" w14:textId="77777777" w:rsidR="002020F9" w:rsidRDefault="002020F9" w:rsidP="002020F9">
      <w:pPr>
        <w:spacing w:after="0" w:line="240" w:lineRule="auto"/>
      </w:pPr>
      <w:r>
        <w:continuationSeparator/>
      </w:r>
    </w:p>
  </w:endnote>
  <w:endnote w:type="continuationNotice" w:id="1">
    <w:p w14:paraId="30CFA95C" w14:textId="77777777" w:rsidR="00AB763E" w:rsidRDefault="00AB76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6F33055-309B-44A9-B0C8-30BDCF6F411C}"/>
    <w:embedBold r:id="rId2" w:fontKey="{98A844AB-0AFA-4732-9326-40BFC3D05F32}"/>
    <w:embedItalic r:id="rId3" w:fontKey="{0BA26B70-FD14-45DA-95F7-6DFD7EA1AC6E}"/>
    <w:embedBoldItalic r:id="rId4" w:fontKey="{4DE8AFFC-835A-4251-9DF7-6D19644AE337}"/>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5" w:fontKey="{E940A685-26DB-4E56-B1C7-896ECEF32E8B}"/>
    <w:embedBold r:id="rId6" w:fontKey="{5F864B9E-7889-4CAF-AC3C-3480B8AE1B36}"/>
    <w:embedItalic r:id="rId7" w:fontKey="{B48E124D-9758-4F4F-ABC0-772E1C435D3D}"/>
    <w:embedBoldItalic r:id="rId8" w:fontKey="{76DC0ED6-E147-490B-AFB7-B8A3F8DC2180}"/>
  </w:font>
  <w:font w:name="Calibri Light">
    <w:panose1 w:val="020F0302020204030204"/>
    <w:charset w:val="00"/>
    <w:family w:val="swiss"/>
    <w:pitch w:val="variable"/>
    <w:sig w:usb0="E4002EFF" w:usb1="C200247B" w:usb2="00000009" w:usb3="00000000" w:csb0="000001FF" w:csb1="00000000"/>
    <w:embedRegular r:id="rId9" w:fontKey="{AAC0A5A6-138D-4689-B214-EA35CF02822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2217427"/>
      <w:docPartObj>
        <w:docPartGallery w:val="Page Numbers (Bottom of Page)"/>
        <w:docPartUnique/>
      </w:docPartObj>
    </w:sdtPr>
    <w:sdtContent>
      <w:p w14:paraId="35C8E1EF" w14:textId="77777777" w:rsidR="0023459F" w:rsidRPr="00CB245E" w:rsidRDefault="0023459F" w:rsidP="0023459F">
        <w:pPr>
          <w:pStyle w:val="Pieddepage"/>
        </w:pPr>
        <w:r w:rsidRPr="00CB245E">
          <w:t xml:space="preserve"> </w:t>
        </w:r>
        <w:r w:rsidRPr="00CB245E">
          <w:fldChar w:fldCharType="begin"/>
        </w:r>
        <w:r w:rsidRPr="00CB245E">
          <w:instrText>PAGE   \* MERGEFORMAT</w:instrText>
        </w:r>
        <w:r w:rsidRPr="00CB245E">
          <w:fldChar w:fldCharType="separate"/>
        </w:r>
        <w:r>
          <w:t>1</w:t>
        </w:r>
        <w:r w:rsidRPr="00CB245E">
          <w:fldChar w:fldCharType="end"/>
        </w:r>
        <w:r w:rsidRPr="00CB245E">
          <w:t xml:space="preserve"> </w:t>
        </w:r>
        <w:r w:rsidRPr="00CB245E">
          <w:rPr>
            <w:sz w:val="22"/>
          </w:rPr>
          <w:t>Copyright© CGPC Développement®</w:t>
        </w:r>
      </w:p>
    </w:sdtContent>
  </w:sdt>
  <w:p w14:paraId="76EA683A" w14:textId="77777777" w:rsidR="004F149D" w:rsidRDefault="004F149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2C400E" w14:textId="77777777" w:rsidR="002020F9" w:rsidRDefault="002020F9" w:rsidP="002020F9">
      <w:pPr>
        <w:spacing w:after="0" w:line="240" w:lineRule="auto"/>
      </w:pPr>
      <w:r>
        <w:separator/>
      </w:r>
    </w:p>
  </w:footnote>
  <w:footnote w:type="continuationSeparator" w:id="0">
    <w:p w14:paraId="07690CB5" w14:textId="77777777" w:rsidR="002020F9" w:rsidRDefault="002020F9" w:rsidP="002020F9">
      <w:pPr>
        <w:spacing w:after="0" w:line="240" w:lineRule="auto"/>
      </w:pPr>
      <w:r>
        <w:continuationSeparator/>
      </w:r>
    </w:p>
  </w:footnote>
  <w:footnote w:type="continuationNotice" w:id="1">
    <w:p w14:paraId="5860A716" w14:textId="77777777" w:rsidR="00AB763E" w:rsidRDefault="00AB763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4E853" w14:textId="075F2A2A" w:rsidR="001501EB" w:rsidRDefault="001501EB">
    <w:pPr>
      <w:pStyle w:val="En-tte"/>
    </w:pPr>
    <w:r>
      <w:rPr>
        <w:noProof/>
      </w:rPr>
      <mc:AlternateContent>
        <mc:Choice Requires="wps">
          <w:drawing>
            <wp:anchor distT="0" distB="0" distL="118745" distR="118745" simplePos="0" relativeHeight="251659264" behindDoc="1" locked="0" layoutInCell="1" allowOverlap="0" wp14:anchorId="68E13E55" wp14:editId="2421421C">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23C29B50" w14:textId="5403EC7A" w:rsidR="001501EB" w:rsidRDefault="001501EB">
                              <w:pPr>
                                <w:pStyle w:val="En-tte"/>
                                <w:jc w:val="center"/>
                                <w:rPr>
                                  <w:caps/>
                                  <w:color w:val="FFFFFF" w:themeColor="background1"/>
                                </w:rPr>
                              </w:pPr>
                              <w:r>
                                <w:rPr>
                                  <w:caps/>
                                  <w:color w:val="FFFFFF" w:themeColor="background1"/>
                                </w:rPr>
                                <w:t xml:space="preserve">Chapitre 1 : Impôts sur les bénéfices </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68E13E55"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23C29B50" w14:textId="5403EC7A" w:rsidR="001501EB" w:rsidRDefault="001501EB">
                        <w:pPr>
                          <w:pStyle w:val="En-tte"/>
                          <w:jc w:val="center"/>
                          <w:rPr>
                            <w:caps/>
                            <w:color w:val="FFFFFF" w:themeColor="background1"/>
                          </w:rPr>
                        </w:pPr>
                        <w:r>
                          <w:rPr>
                            <w:caps/>
                            <w:color w:val="FFFFFF" w:themeColor="background1"/>
                          </w:rPr>
                          <w:t xml:space="preserve">Chapitre 1 : Impôts sur les bénéfices </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6645A"/>
    <w:multiLevelType w:val="hybridMultilevel"/>
    <w:tmpl w:val="3EE06A16"/>
    <w:lvl w:ilvl="0" w:tplc="A4FC0148">
      <w:start w:val="1"/>
      <w:numFmt w:val="lowerRoman"/>
      <w:pStyle w:val="Titre5"/>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A9C40BE"/>
    <w:multiLevelType w:val="multilevel"/>
    <w:tmpl w:val="04FEF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8856F1"/>
    <w:multiLevelType w:val="hybridMultilevel"/>
    <w:tmpl w:val="CA081F5C"/>
    <w:lvl w:ilvl="0" w:tplc="78BE9956">
      <w:start w:val="1"/>
      <w:numFmt w:val="upperLetter"/>
      <w:pStyle w:val="Titre3"/>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8A48BC"/>
    <w:multiLevelType w:val="multilevel"/>
    <w:tmpl w:val="47B66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BF5055"/>
    <w:multiLevelType w:val="multilevel"/>
    <w:tmpl w:val="12A6D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90B668E"/>
    <w:multiLevelType w:val="multilevel"/>
    <w:tmpl w:val="2C5A0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08430A1"/>
    <w:multiLevelType w:val="multilevel"/>
    <w:tmpl w:val="82E62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A657D8"/>
    <w:multiLevelType w:val="multilevel"/>
    <w:tmpl w:val="A16C5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BC3A6B"/>
    <w:multiLevelType w:val="multilevel"/>
    <w:tmpl w:val="C97C2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4235C2F"/>
    <w:multiLevelType w:val="multilevel"/>
    <w:tmpl w:val="8B1C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479436D"/>
    <w:multiLevelType w:val="multilevel"/>
    <w:tmpl w:val="DA349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58D12B5"/>
    <w:multiLevelType w:val="multilevel"/>
    <w:tmpl w:val="E0560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5C50CF9"/>
    <w:multiLevelType w:val="multilevel"/>
    <w:tmpl w:val="9E7EB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7D938E8"/>
    <w:multiLevelType w:val="multilevel"/>
    <w:tmpl w:val="9988A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A84169A"/>
    <w:multiLevelType w:val="multilevel"/>
    <w:tmpl w:val="985A1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E7B24B8"/>
    <w:multiLevelType w:val="hybridMultilevel"/>
    <w:tmpl w:val="65502C7E"/>
    <w:lvl w:ilvl="0" w:tplc="2A2C3028">
      <w:start w:val="1"/>
      <w:numFmt w:val="low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7" w15:restartNumberingAfterBreak="0">
    <w:nsid w:val="3FA85789"/>
    <w:multiLevelType w:val="multilevel"/>
    <w:tmpl w:val="C46E4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FBA11D2"/>
    <w:multiLevelType w:val="multilevel"/>
    <w:tmpl w:val="D6423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1D14151"/>
    <w:multiLevelType w:val="multilevel"/>
    <w:tmpl w:val="FE302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3566DD6"/>
    <w:multiLevelType w:val="multilevel"/>
    <w:tmpl w:val="F860F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3CB0C20"/>
    <w:multiLevelType w:val="multilevel"/>
    <w:tmpl w:val="9E4EA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4314407"/>
    <w:multiLevelType w:val="multilevel"/>
    <w:tmpl w:val="6C3CBAFA"/>
    <w:lvl w:ilvl="0">
      <w:start w:val="1"/>
      <w:numFmt w:val="decimal"/>
      <w:pStyle w:val="Titre2"/>
      <w:lvlText w:val="%1."/>
      <w:lvlJc w:val="left"/>
      <w:pPr>
        <w:ind w:left="717" w:hanging="360"/>
      </w:pPr>
    </w:lvl>
    <w:lvl w:ilvl="1">
      <w:start w:val="1"/>
      <w:numFmt w:val="decimal"/>
      <w:lvlText w:val="%2."/>
      <w:lvlJc w:val="left"/>
      <w:pPr>
        <w:tabs>
          <w:tab w:val="num" w:pos="1350"/>
        </w:tabs>
        <w:ind w:left="1350" w:hanging="720"/>
      </w:pPr>
    </w:lvl>
    <w:lvl w:ilvl="2">
      <w:start w:val="1"/>
      <w:numFmt w:val="decimal"/>
      <w:lvlText w:val="%3."/>
      <w:lvlJc w:val="left"/>
      <w:pPr>
        <w:tabs>
          <w:tab w:val="num" w:pos="2070"/>
        </w:tabs>
        <w:ind w:left="2070" w:hanging="720"/>
      </w:pPr>
    </w:lvl>
    <w:lvl w:ilvl="3">
      <w:start w:val="1"/>
      <w:numFmt w:val="decimal"/>
      <w:lvlText w:val="%4."/>
      <w:lvlJc w:val="left"/>
      <w:pPr>
        <w:tabs>
          <w:tab w:val="num" w:pos="2790"/>
        </w:tabs>
        <w:ind w:left="2790" w:hanging="720"/>
      </w:pPr>
    </w:lvl>
    <w:lvl w:ilvl="4">
      <w:start w:val="1"/>
      <w:numFmt w:val="decimal"/>
      <w:lvlText w:val="%5."/>
      <w:lvlJc w:val="left"/>
      <w:pPr>
        <w:tabs>
          <w:tab w:val="num" w:pos="3510"/>
        </w:tabs>
        <w:ind w:left="3510" w:hanging="720"/>
      </w:pPr>
    </w:lvl>
    <w:lvl w:ilvl="5">
      <w:start w:val="1"/>
      <w:numFmt w:val="decimal"/>
      <w:lvlText w:val="%6."/>
      <w:lvlJc w:val="left"/>
      <w:pPr>
        <w:tabs>
          <w:tab w:val="num" w:pos="4230"/>
        </w:tabs>
        <w:ind w:left="4230" w:hanging="720"/>
      </w:pPr>
    </w:lvl>
    <w:lvl w:ilvl="6">
      <w:start w:val="1"/>
      <w:numFmt w:val="decimal"/>
      <w:lvlText w:val="%7."/>
      <w:lvlJc w:val="left"/>
      <w:pPr>
        <w:tabs>
          <w:tab w:val="num" w:pos="4950"/>
        </w:tabs>
        <w:ind w:left="4950" w:hanging="720"/>
      </w:pPr>
    </w:lvl>
    <w:lvl w:ilvl="7">
      <w:start w:val="1"/>
      <w:numFmt w:val="decimal"/>
      <w:lvlText w:val="%8."/>
      <w:lvlJc w:val="left"/>
      <w:pPr>
        <w:tabs>
          <w:tab w:val="num" w:pos="5670"/>
        </w:tabs>
        <w:ind w:left="5670" w:hanging="720"/>
      </w:pPr>
    </w:lvl>
    <w:lvl w:ilvl="8">
      <w:start w:val="1"/>
      <w:numFmt w:val="decimal"/>
      <w:lvlText w:val="%9."/>
      <w:lvlJc w:val="left"/>
      <w:pPr>
        <w:tabs>
          <w:tab w:val="num" w:pos="6390"/>
        </w:tabs>
        <w:ind w:left="6390" w:hanging="720"/>
      </w:pPr>
    </w:lvl>
  </w:abstractNum>
  <w:abstractNum w:abstractNumId="23" w15:restartNumberingAfterBreak="0">
    <w:nsid w:val="45FE5CDD"/>
    <w:multiLevelType w:val="multilevel"/>
    <w:tmpl w:val="84FA0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6027F6A"/>
    <w:multiLevelType w:val="multilevel"/>
    <w:tmpl w:val="A8881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198732D"/>
    <w:multiLevelType w:val="multilevel"/>
    <w:tmpl w:val="B672C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EA80CF0"/>
    <w:multiLevelType w:val="multilevel"/>
    <w:tmpl w:val="2BA0DE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2C738DC"/>
    <w:multiLevelType w:val="multilevel"/>
    <w:tmpl w:val="11EAB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6510A91"/>
    <w:multiLevelType w:val="multilevel"/>
    <w:tmpl w:val="F634D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4AC3BAD"/>
    <w:multiLevelType w:val="multilevel"/>
    <w:tmpl w:val="124E9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507628D"/>
    <w:multiLevelType w:val="multilevel"/>
    <w:tmpl w:val="EE062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8FA6FC7"/>
    <w:multiLevelType w:val="multilevel"/>
    <w:tmpl w:val="DF38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90767519">
    <w:abstractNumId w:val="22"/>
  </w:num>
  <w:num w:numId="2" w16cid:durableId="1427118286">
    <w:abstractNumId w:val="16"/>
  </w:num>
  <w:num w:numId="3" w16cid:durableId="1858275718">
    <w:abstractNumId w:val="2"/>
  </w:num>
  <w:num w:numId="4" w16cid:durableId="1906524701">
    <w:abstractNumId w:val="8"/>
  </w:num>
  <w:num w:numId="5" w16cid:durableId="537670666">
    <w:abstractNumId w:val="31"/>
  </w:num>
  <w:num w:numId="6" w16cid:durableId="1218905196">
    <w:abstractNumId w:val="5"/>
  </w:num>
  <w:num w:numId="7" w16cid:durableId="1419524413">
    <w:abstractNumId w:val="23"/>
  </w:num>
  <w:num w:numId="8" w16cid:durableId="1788546635">
    <w:abstractNumId w:val="6"/>
  </w:num>
  <w:num w:numId="9" w16cid:durableId="120154927">
    <w:abstractNumId w:val="3"/>
  </w:num>
  <w:num w:numId="10" w16cid:durableId="110364771">
    <w:abstractNumId w:val="16"/>
    <w:lvlOverride w:ilvl="0">
      <w:startOverride w:val="1"/>
    </w:lvlOverride>
  </w:num>
  <w:num w:numId="11" w16cid:durableId="1578251568">
    <w:abstractNumId w:val="16"/>
    <w:lvlOverride w:ilvl="0">
      <w:startOverride w:val="1"/>
    </w:lvlOverride>
  </w:num>
  <w:num w:numId="12" w16cid:durableId="2029869608">
    <w:abstractNumId w:val="2"/>
    <w:lvlOverride w:ilvl="0">
      <w:startOverride w:val="1"/>
    </w:lvlOverride>
  </w:num>
  <w:num w:numId="13" w16cid:durableId="164630878">
    <w:abstractNumId w:val="16"/>
    <w:lvlOverride w:ilvl="0">
      <w:startOverride w:val="1"/>
    </w:lvlOverride>
  </w:num>
  <w:num w:numId="14" w16cid:durableId="1912616725">
    <w:abstractNumId w:val="16"/>
    <w:lvlOverride w:ilvl="0">
      <w:startOverride w:val="1"/>
    </w:lvlOverride>
  </w:num>
  <w:num w:numId="15" w16cid:durableId="1635062266">
    <w:abstractNumId w:val="2"/>
    <w:lvlOverride w:ilvl="0">
      <w:startOverride w:val="1"/>
    </w:lvlOverride>
  </w:num>
  <w:num w:numId="16" w16cid:durableId="408042625">
    <w:abstractNumId w:val="16"/>
    <w:lvlOverride w:ilvl="0">
      <w:startOverride w:val="1"/>
    </w:lvlOverride>
  </w:num>
  <w:num w:numId="17" w16cid:durableId="791896623">
    <w:abstractNumId w:val="12"/>
  </w:num>
  <w:num w:numId="18" w16cid:durableId="1718041483">
    <w:abstractNumId w:val="10"/>
  </w:num>
  <w:num w:numId="19" w16cid:durableId="1912303975">
    <w:abstractNumId w:val="19"/>
  </w:num>
  <w:num w:numId="20" w16cid:durableId="1068767230">
    <w:abstractNumId w:val="30"/>
  </w:num>
  <w:num w:numId="21" w16cid:durableId="361517594">
    <w:abstractNumId w:val="4"/>
  </w:num>
  <w:num w:numId="22" w16cid:durableId="973290448">
    <w:abstractNumId w:val="17"/>
  </w:num>
  <w:num w:numId="23" w16cid:durableId="1305768914">
    <w:abstractNumId w:val="11"/>
  </w:num>
  <w:num w:numId="24" w16cid:durableId="149493247">
    <w:abstractNumId w:val="15"/>
  </w:num>
  <w:num w:numId="25" w16cid:durableId="88040448">
    <w:abstractNumId w:val="7"/>
  </w:num>
  <w:num w:numId="26" w16cid:durableId="498354714">
    <w:abstractNumId w:val="27"/>
  </w:num>
  <w:num w:numId="27" w16cid:durableId="2108501938">
    <w:abstractNumId w:val="28"/>
  </w:num>
  <w:num w:numId="28" w16cid:durableId="222064182">
    <w:abstractNumId w:val="1"/>
  </w:num>
  <w:num w:numId="29" w16cid:durableId="1420639348">
    <w:abstractNumId w:val="24"/>
  </w:num>
  <w:num w:numId="30" w16cid:durableId="1704939084">
    <w:abstractNumId w:val="26"/>
  </w:num>
  <w:num w:numId="31" w16cid:durableId="143281008">
    <w:abstractNumId w:val="20"/>
  </w:num>
  <w:num w:numId="32" w16cid:durableId="1138035665">
    <w:abstractNumId w:val="9"/>
  </w:num>
  <w:num w:numId="33" w16cid:durableId="319507195">
    <w:abstractNumId w:val="29"/>
  </w:num>
  <w:num w:numId="34" w16cid:durableId="1236162013">
    <w:abstractNumId w:val="25"/>
  </w:num>
  <w:num w:numId="35" w16cid:durableId="919294832">
    <w:abstractNumId w:val="13"/>
  </w:num>
  <w:num w:numId="36" w16cid:durableId="832378026">
    <w:abstractNumId w:val="14"/>
  </w:num>
  <w:num w:numId="37" w16cid:durableId="2096004636">
    <w:abstractNumId w:val="18"/>
  </w:num>
  <w:num w:numId="38" w16cid:durableId="1096439121">
    <w:abstractNumId w:val="21"/>
  </w:num>
  <w:num w:numId="39" w16cid:durableId="566451716">
    <w:abstractNumId w:val="2"/>
    <w:lvlOverride w:ilvl="0">
      <w:startOverride w:val="1"/>
    </w:lvlOverride>
  </w:num>
  <w:num w:numId="40" w16cid:durableId="973290252">
    <w:abstractNumId w:val="16"/>
    <w:lvlOverride w:ilvl="0">
      <w:startOverride w:val="1"/>
    </w:lvlOverride>
  </w:num>
  <w:num w:numId="41" w16cid:durableId="620305802">
    <w:abstractNumId w:val="16"/>
    <w:lvlOverride w:ilvl="0">
      <w:startOverride w:val="1"/>
    </w:lvlOverride>
  </w:num>
  <w:num w:numId="42" w16cid:durableId="1666318528">
    <w:abstractNumId w:val="16"/>
  </w:num>
  <w:num w:numId="43" w16cid:durableId="1664431921">
    <w:abstractNumId w:val="16"/>
    <w:lvlOverride w:ilvl="0">
      <w:startOverride w:val="1"/>
    </w:lvlOverride>
  </w:num>
  <w:num w:numId="44" w16cid:durableId="746537842">
    <w:abstractNumId w:val="2"/>
    <w:lvlOverride w:ilvl="0">
      <w:startOverride w:val="1"/>
    </w:lvlOverride>
  </w:num>
  <w:num w:numId="45" w16cid:durableId="1454013686">
    <w:abstractNumId w:val="16"/>
    <w:lvlOverride w:ilvl="0">
      <w:startOverride w:val="1"/>
    </w:lvlOverride>
  </w:num>
  <w:num w:numId="46" w16cid:durableId="1054432408">
    <w:abstractNumId w:val="0"/>
  </w:num>
  <w:num w:numId="47" w16cid:durableId="1240869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6314291">
    <w:abstractNumId w:val="2"/>
    <w:lvlOverride w:ilvl="0">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08"/>
  <w:autoHyphenation/>
  <w:hyphenationZone w:val="425"/>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1567E"/>
    <w:rsid w:val="000570C2"/>
    <w:rsid w:val="00074CCE"/>
    <w:rsid w:val="00075E24"/>
    <w:rsid w:val="000C2B3F"/>
    <w:rsid w:val="000C5F54"/>
    <w:rsid w:val="000D75B7"/>
    <w:rsid w:val="001238EF"/>
    <w:rsid w:val="001501EB"/>
    <w:rsid w:val="001525E5"/>
    <w:rsid w:val="0015633A"/>
    <w:rsid w:val="001E58CB"/>
    <w:rsid w:val="00200B59"/>
    <w:rsid w:val="002020F9"/>
    <w:rsid w:val="00223CBA"/>
    <w:rsid w:val="00233D58"/>
    <w:rsid w:val="0023459F"/>
    <w:rsid w:val="00264198"/>
    <w:rsid w:val="002755CD"/>
    <w:rsid w:val="00281D43"/>
    <w:rsid w:val="002832B4"/>
    <w:rsid w:val="002863E1"/>
    <w:rsid w:val="002B65BE"/>
    <w:rsid w:val="002E7C98"/>
    <w:rsid w:val="0030508E"/>
    <w:rsid w:val="00326184"/>
    <w:rsid w:val="0036482C"/>
    <w:rsid w:val="0036727B"/>
    <w:rsid w:val="00395D9F"/>
    <w:rsid w:val="003A3F2A"/>
    <w:rsid w:val="00405DBA"/>
    <w:rsid w:val="00471BDF"/>
    <w:rsid w:val="004C5E68"/>
    <w:rsid w:val="004D5FC6"/>
    <w:rsid w:val="004F149D"/>
    <w:rsid w:val="004F7075"/>
    <w:rsid w:val="00552D7D"/>
    <w:rsid w:val="00563C2E"/>
    <w:rsid w:val="00566450"/>
    <w:rsid w:val="00566BDA"/>
    <w:rsid w:val="0058472E"/>
    <w:rsid w:val="00593DBA"/>
    <w:rsid w:val="005941FD"/>
    <w:rsid w:val="005F0983"/>
    <w:rsid w:val="00624CAE"/>
    <w:rsid w:val="0062781F"/>
    <w:rsid w:val="006325C6"/>
    <w:rsid w:val="00677448"/>
    <w:rsid w:val="006E2203"/>
    <w:rsid w:val="00755B60"/>
    <w:rsid w:val="007674AD"/>
    <w:rsid w:val="00780465"/>
    <w:rsid w:val="007A379E"/>
    <w:rsid w:val="00834AAF"/>
    <w:rsid w:val="008D272E"/>
    <w:rsid w:val="008D4193"/>
    <w:rsid w:val="00910D5B"/>
    <w:rsid w:val="00913774"/>
    <w:rsid w:val="00937625"/>
    <w:rsid w:val="00984F19"/>
    <w:rsid w:val="009A61A2"/>
    <w:rsid w:val="009D2B22"/>
    <w:rsid w:val="009D64BE"/>
    <w:rsid w:val="00A13493"/>
    <w:rsid w:val="00A34B20"/>
    <w:rsid w:val="00A7577F"/>
    <w:rsid w:val="00A87FD6"/>
    <w:rsid w:val="00AA6E58"/>
    <w:rsid w:val="00AB5284"/>
    <w:rsid w:val="00AB763E"/>
    <w:rsid w:val="00AC3233"/>
    <w:rsid w:val="00AC4FFD"/>
    <w:rsid w:val="00AE5BE4"/>
    <w:rsid w:val="00B0501B"/>
    <w:rsid w:val="00B10DE0"/>
    <w:rsid w:val="00B1793E"/>
    <w:rsid w:val="00B25AB9"/>
    <w:rsid w:val="00B34910"/>
    <w:rsid w:val="00B42117"/>
    <w:rsid w:val="00B5286C"/>
    <w:rsid w:val="00B630C8"/>
    <w:rsid w:val="00B75B22"/>
    <w:rsid w:val="00B8067C"/>
    <w:rsid w:val="00B81391"/>
    <w:rsid w:val="00BD04E2"/>
    <w:rsid w:val="00BF4DAF"/>
    <w:rsid w:val="00BF7C89"/>
    <w:rsid w:val="00C10135"/>
    <w:rsid w:val="00C12BC9"/>
    <w:rsid w:val="00C17D12"/>
    <w:rsid w:val="00C44C02"/>
    <w:rsid w:val="00C6408A"/>
    <w:rsid w:val="00C83889"/>
    <w:rsid w:val="00C86C18"/>
    <w:rsid w:val="00CC5221"/>
    <w:rsid w:val="00CE1F09"/>
    <w:rsid w:val="00D30A3F"/>
    <w:rsid w:val="00D5574B"/>
    <w:rsid w:val="00D613E3"/>
    <w:rsid w:val="00D654AD"/>
    <w:rsid w:val="00D7312E"/>
    <w:rsid w:val="00D812F3"/>
    <w:rsid w:val="00DE3098"/>
    <w:rsid w:val="00E57CBB"/>
    <w:rsid w:val="00E678EF"/>
    <w:rsid w:val="00E96BE2"/>
    <w:rsid w:val="00E97AC5"/>
    <w:rsid w:val="00EB02FF"/>
    <w:rsid w:val="00EB0768"/>
    <w:rsid w:val="00EB5CE2"/>
    <w:rsid w:val="00EC652C"/>
    <w:rsid w:val="00ED4021"/>
    <w:rsid w:val="00F22A0B"/>
    <w:rsid w:val="00F90E72"/>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0D75B7"/>
    <w:pPr>
      <w:jc w:val="both"/>
    </w:pPr>
    <w:rPr>
      <w:rFonts w:ascii="Open Sans" w:hAnsi="Open Sans"/>
      <w:kern w:val="0"/>
      <w:sz w:val="32"/>
      <w14:ligatures w14:val="none"/>
    </w:rPr>
  </w:style>
  <w:style w:type="paragraph" w:styleId="Titre1">
    <w:name w:val="heading 1"/>
    <w:basedOn w:val="Normal"/>
    <w:next w:val="Titre2"/>
    <w:link w:val="Titre1Car"/>
    <w:autoRedefine/>
    <w:uiPriority w:val="9"/>
    <w:qFormat/>
    <w:rsid w:val="000D75B7"/>
    <w:pPr>
      <w:keepNext/>
      <w:keepLines/>
      <w:numPr>
        <w:numId w:val="4"/>
      </w:numPr>
      <w:spacing w:after="0" w:line="900" w:lineRule="atLeast"/>
      <w:jc w:val="left"/>
      <w:textAlignment w:val="baseline"/>
      <w:outlineLvl w:val="0"/>
    </w:pPr>
    <w:rPr>
      <w:rFonts w:eastAsiaTheme="majorEastAsia" w:cstheme="majorBidi"/>
      <w:b/>
      <w:color w:val="FFFFFF" w:themeColor="background1"/>
      <w:sz w:val="56"/>
      <w:szCs w:val="32"/>
    </w:rPr>
  </w:style>
  <w:style w:type="paragraph" w:styleId="Titre2">
    <w:name w:val="heading 2"/>
    <w:aliases w:val="Titre 2 CGPC"/>
    <w:basedOn w:val="CGPC-elearning"/>
    <w:next w:val="Normal"/>
    <w:link w:val="Titre2Car"/>
    <w:autoRedefine/>
    <w:uiPriority w:val="9"/>
    <w:unhideWhenUsed/>
    <w:qFormat/>
    <w:rsid w:val="00C6408A"/>
    <w:pPr>
      <w:keepNext/>
      <w:keepLines/>
      <w:numPr>
        <w:numId w:val="1"/>
      </w:numPr>
      <w:shd w:val="clear" w:color="auto" w:fill="FFFFFF"/>
      <w:spacing w:after="0" w:line="600" w:lineRule="atLeast"/>
      <w:contextualSpacing/>
      <w:textAlignment w:val="baseline"/>
      <w:outlineLvl w:val="1"/>
    </w:pPr>
    <w:rPr>
      <w:rFonts w:eastAsiaTheme="majorEastAsia"/>
      <w:b/>
      <w:color w:val="3A5D9C"/>
      <w:sz w:val="52"/>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C6408A"/>
    <w:pPr>
      <w:keepNext/>
      <w:keepLines/>
      <w:numPr>
        <w:numId w:val="3"/>
      </w:numPr>
      <w:shd w:val="clear" w:color="auto" w:fill="FFFFFF"/>
      <w:spacing w:after="0" w:line="675" w:lineRule="atLeast"/>
      <w:textAlignment w:val="baseline"/>
      <w:outlineLvl w:val="2"/>
    </w:pPr>
    <w:rPr>
      <w:rFonts w:eastAsia="Times New Roman"/>
      <w:b/>
      <w:color w:val="3A5D9C"/>
      <w:sz w:val="48"/>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C6408A"/>
    <w:pPr>
      <w:keepNext/>
      <w:keepLines/>
      <w:numPr>
        <w:numId w:val="2"/>
      </w:numPr>
      <w:spacing w:before="280" w:after="240"/>
      <w:outlineLvl w:val="3"/>
    </w:pPr>
    <w:rPr>
      <w:rFonts w:eastAsiaTheme="majorEastAsia" w:cstheme="majorBidi"/>
      <w:b/>
      <w:iCs/>
      <w:color w:val="2F5496" w:themeColor="accent1" w:themeShade="BF"/>
      <w:sz w:val="44"/>
      <w:bdr w:val="none" w:sz="0" w:space="0" w:color="auto" w:frame="1"/>
    </w:rPr>
  </w:style>
  <w:style w:type="paragraph" w:styleId="Titre5">
    <w:name w:val="heading 5"/>
    <w:aliases w:val="Titre 5 CGPC"/>
    <w:basedOn w:val="CGPC-elearning"/>
    <w:next w:val="Normal"/>
    <w:link w:val="Titre5Car"/>
    <w:autoRedefine/>
    <w:uiPriority w:val="9"/>
    <w:unhideWhenUsed/>
    <w:qFormat/>
    <w:rsid w:val="000D75B7"/>
    <w:pPr>
      <w:keepNext/>
      <w:keepLines/>
      <w:numPr>
        <w:numId w:val="46"/>
      </w:numPr>
      <w:tabs>
        <w:tab w:val="num" w:pos="720"/>
      </w:tabs>
      <w:spacing w:before="400" w:after="360"/>
      <w:outlineLvl w:val="4"/>
    </w:pPr>
    <w:rPr>
      <w:rFonts w:eastAsia="Times New Roman" w:cstheme="majorBidi"/>
      <w:b/>
      <w:color w:val="2F5496" w:themeColor="accent1" w:themeShade="BF"/>
      <w:sz w:val="40"/>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C6408A"/>
    <w:rPr>
      <w:rFonts w:ascii="Open Sans" w:eastAsiaTheme="majorEastAsia" w:hAnsi="Open Sans" w:cs="Open Sans"/>
      <w:b/>
      <w:bCs/>
      <w:color w:val="3A5D9C"/>
      <w:sz w:val="52"/>
      <w:szCs w:val="26"/>
      <w:bdr w:val="none" w:sz="0" w:space="0" w:color="auto" w:frame="1"/>
      <w:shd w:val="clear" w:color="auto" w:fill="FFFFFF"/>
    </w:rPr>
  </w:style>
  <w:style w:type="character" w:customStyle="1" w:styleId="Titre1Car">
    <w:name w:val="Titre 1 Car"/>
    <w:basedOn w:val="Policepardfaut"/>
    <w:link w:val="Titre1"/>
    <w:uiPriority w:val="9"/>
    <w:rsid w:val="000D75B7"/>
    <w:rPr>
      <w:rFonts w:ascii="Open Sans" w:eastAsiaTheme="majorEastAsia" w:hAnsi="Open Sans" w:cstheme="majorBidi"/>
      <w:b/>
      <w:color w:val="FFFFFF" w:themeColor="background1"/>
      <w:kern w:val="0"/>
      <w:sz w:val="56"/>
      <w:szCs w:val="32"/>
      <w14:ligatures w14:val="none"/>
    </w:rPr>
  </w:style>
  <w:style w:type="paragraph" w:customStyle="1" w:styleId="CGPC-elearning">
    <w:name w:val="CGPC-elearning"/>
    <w:basedOn w:val="Normal"/>
    <w:link w:val="CGPC-elearningCar"/>
    <w:autoRedefine/>
    <w:rsid w:val="00E678EF"/>
    <w:pPr>
      <w:jc w:val="left"/>
    </w:pPr>
    <w:rPr>
      <w:rFonts w:cs="Open Sans"/>
      <w:bCs/>
      <w:kern w:val="2"/>
      <w:szCs w:val="36"/>
      <w14:ligatures w14:val="standardContextual"/>
    </w:rPr>
  </w:style>
  <w:style w:type="character" w:customStyle="1" w:styleId="CGPC-elearningCar">
    <w:name w:val="CGPC-elearning Car"/>
    <w:basedOn w:val="Policepardfaut"/>
    <w:link w:val="CGPC-elearning"/>
    <w:rsid w:val="00E678EF"/>
    <w:rPr>
      <w:rFonts w:ascii="Open Sans" w:hAnsi="Open Sans" w:cs="Open Sans"/>
      <w:bCs/>
      <w:sz w:val="24"/>
      <w:szCs w:val="36"/>
    </w:rPr>
  </w:style>
  <w:style w:type="character" w:customStyle="1" w:styleId="Titre3Car">
    <w:name w:val="Titre 3 Car"/>
    <w:aliases w:val="Titre 3 CGPC Car"/>
    <w:basedOn w:val="Policepardfaut"/>
    <w:link w:val="Titre3"/>
    <w:uiPriority w:val="9"/>
    <w:rsid w:val="00C6408A"/>
    <w:rPr>
      <w:rFonts w:ascii="Open Sans" w:eastAsia="Times New Roman" w:hAnsi="Open Sans" w:cs="Open Sans"/>
      <w:b/>
      <w:bCs/>
      <w:color w:val="3A5D9C"/>
      <w:sz w:val="48"/>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C6408A"/>
    <w:rPr>
      <w:rFonts w:ascii="Open Sans" w:eastAsiaTheme="majorEastAsia" w:hAnsi="Open Sans" w:cstheme="majorBidi"/>
      <w:b/>
      <w:bCs/>
      <w:iCs/>
      <w:color w:val="2F5496" w:themeColor="accent1" w:themeShade="BF"/>
      <w:sz w:val="44"/>
      <w:szCs w:val="36"/>
      <w:bdr w:val="none" w:sz="0" w:space="0" w:color="auto" w:frame="1"/>
    </w:rPr>
  </w:style>
  <w:style w:type="character" w:customStyle="1" w:styleId="Titre5Car">
    <w:name w:val="Titre 5 Car"/>
    <w:aliases w:val="Titre 5 CGPC Car"/>
    <w:basedOn w:val="Policepardfaut"/>
    <w:link w:val="Titre5"/>
    <w:uiPriority w:val="9"/>
    <w:rsid w:val="000D75B7"/>
    <w:rPr>
      <w:rFonts w:ascii="Open Sans" w:eastAsia="Times New Roman" w:hAnsi="Open Sans" w:cstheme="majorBidi"/>
      <w:b/>
      <w:bCs/>
      <w:color w:val="2F5496" w:themeColor="accent1" w:themeShade="BF"/>
      <w:sz w:val="40"/>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Corpsdetexte">
    <w:name w:val="Body Text"/>
    <w:basedOn w:val="Normal"/>
    <w:link w:val="CorpsdetexteCar"/>
    <w:uiPriority w:val="1"/>
    <w:rsid w:val="002B65BE"/>
    <w:pPr>
      <w:widowControl w:val="0"/>
      <w:autoSpaceDE w:val="0"/>
      <w:autoSpaceDN w:val="0"/>
      <w:spacing w:after="0" w:line="240" w:lineRule="auto"/>
      <w:jc w:val="left"/>
    </w:pPr>
    <w:rPr>
      <w:rFonts w:ascii="Times New Roman" w:eastAsia="Times New Roman" w:hAnsi="Times New Roman" w:cs="Times New Roman"/>
      <w:sz w:val="20"/>
      <w:szCs w:val="20"/>
    </w:rPr>
  </w:style>
  <w:style w:type="character" w:customStyle="1" w:styleId="CorpsdetexteCar">
    <w:name w:val="Corps de texte Car"/>
    <w:basedOn w:val="Policepardfaut"/>
    <w:link w:val="Corpsdetexte"/>
    <w:uiPriority w:val="1"/>
    <w:rsid w:val="002B65BE"/>
    <w:rPr>
      <w:rFonts w:ascii="Times New Roman" w:eastAsia="Times New Roman" w:hAnsi="Times New Roman" w:cs="Times New Roman"/>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service-public.fr/professionnels-entreprises/vosdroits/F24315" TargetMode="External"/><Relationship Id="rId18" Type="http://schemas.openxmlformats.org/officeDocument/2006/relationships/hyperlink" Target="https://www.legifrance.gouv.fr/codes/article_lc/LEGIARTI000037987062/2019-01-01"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https://www.service-public.fr/professionnels-entreprises/vosdroits/F32105" TargetMode="External"/><Relationship Id="rId17" Type="http://schemas.openxmlformats.org/officeDocument/2006/relationships/hyperlink" Target="https://www.legifrance.gouv.fr/codes/article_lc/LEGIARTI000037312533/2018-08-12" TargetMode="External"/><Relationship Id="rId2" Type="http://schemas.openxmlformats.org/officeDocument/2006/relationships/customXml" Target="../customXml/item2.xml"/><Relationship Id="rId16" Type="http://schemas.openxmlformats.org/officeDocument/2006/relationships/hyperlink" Target="https://www.legifrance.gouv.fr/codes/article_lc/LEGIARTI000037312905/2018-08-12"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service-public.fr/professionnels-entreprises/vosdroits/N13445" TargetMode="External"/><Relationship Id="rId24" Type="http://schemas.openxmlformats.org/officeDocument/2006/relationships/customXml" Target="../customXml/item4.xml"/><Relationship Id="rId5" Type="http://schemas.openxmlformats.org/officeDocument/2006/relationships/styles" Target="styles.xml"/><Relationship Id="rId15" Type="http://schemas.openxmlformats.org/officeDocument/2006/relationships/hyperlink" Target="https://www.legifrance.gouv.fr/codes/article_lc/LEGIARTI000037312533/2018-08-12" TargetMode="External"/><Relationship Id="rId23" Type="http://schemas.openxmlformats.org/officeDocument/2006/relationships/theme" Target="theme/theme1.xml"/><Relationship Id="rId10" Type="http://schemas.openxmlformats.org/officeDocument/2006/relationships/hyperlink" Target="https://www.economie.gouv.fr/dgfip/charte-des-droits-et-obligations-contribuable-verifie" TargetMode="External"/><Relationship Id="rId19" Type="http://schemas.openxmlformats.org/officeDocument/2006/relationships/hyperlink" Target="https://bofip.impots.gouv.fr/doctrine/pgp/717-PG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service-public.fr/professionnels-entreprises/vosdroits/F24315"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ateetheure xmlns="b079812a-7967-4ed2-9291-1c797a51b449" xsi:nil="true"/>
    <TaxCatchAll xmlns="427b065b-dfa1-44b2-8977-c4f8c74eb7ce" xsi:nil="true"/>
    <lcf76f155ced4ddcb4097134ff3c332f xmlns="b079812a-7967-4ed2-9291-1c797a51b44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CA291B4-4D0F-4FD6-85B1-D6B6C4EB9646}">
  <ds:schemaRefs>
    <ds:schemaRef ds:uri="http://schemas.microsoft.com/sharepoint/v3/contenttype/forms"/>
  </ds:schemaRefs>
</ds:datastoreItem>
</file>

<file path=customXml/itemProps2.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3.xml><?xml version="1.0" encoding="utf-8"?>
<ds:datastoreItem xmlns:ds="http://schemas.openxmlformats.org/officeDocument/2006/customXml" ds:itemID="{82DBE4F5-0E42-4358-9741-A59CFE65D75A}"/>
</file>

<file path=customXml/itemProps4.xml><?xml version="1.0" encoding="utf-8"?>
<ds:datastoreItem xmlns:ds="http://schemas.openxmlformats.org/officeDocument/2006/customXml" ds:itemID="{E14667FD-E48A-4A4C-9BE2-A03EEB55ACE8}"/>
</file>

<file path=docProps/app.xml><?xml version="1.0" encoding="utf-8"?>
<Properties xmlns="http://schemas.openxmlformats.org/officeDocument/2006/extended-properties" xmlns:vt="http://schemas.openxmlformats.org/officeDocument/2006/docPropsVTypes">
  <Template>Normal.dotm</Template>
  <TotalTime>0</TotalTime>
  <Pages>24</Pages>
  <Words>4935</Words>
  <Characters>28132</Characters>
  <Application>Microsoft Office Word</Application>
  <DocSecurity>0</DocSecurity>
  <Lines>234</Lines>
  <Paragraphs>66</Paragraphs>
  <ScaleCrop>false</ScaleCrop>
  <HeadingPairs>
    <vt:vector size="2" baseType="variant">
      <vt:variant>
        <vt:lpstr>Titre</vt:lpstr>
      </vt:variant>
      <vt:variant>
        <vt:i4>1</vt:i4>
      </vt:variant>
    </vt:vector>
  </HeadingPairs>
  <TitlesOfParts>
    <vt:vector size="1" baseType="lpstr">
      <vt:lpstr>Chapitre 5</vt:lpstr>
    </vt:vector>
  </TitlesOfParts>
  <Company>CGPC - membre FPSB</Company>
  <LinksUpToDate>false</LinksUpToDate>
  <CharactersWithSpaces>33001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Impôts sur les bénéfices</dc:title>
  <dc:subject>L’impôt sur les bénéfices</dc:subject>
  <dc:creator>Renaud Duval</dc:creator>
  <cp:keywords/>
  <dc:description/>
  <cp:lastModifiedBy>Renaud Duval</cp:lastModifiedBy>
  <cp:revision>24</cp:revision>
  <cp:lastPrinted>2024-02-07T13:20:00Z</cp:lastPrinted>
  <dcterms:created xsi:type="dcterms:W3CDTF">2024-03-31T17:07:00Z</dcterms:created>
  <dcterms:modified xsi:type="dcterms:W3CDTF">2025-09-15T10:45:00Z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ies>
</file>